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37D" w:rsidRPr="0007237D" w:rsidRDefault="0007237D" w:rsidP="0007237D">
      <w:pPr>
        <w:spacing w:after="0"/>
        <w:jc w:val="both"/>
        <w:rPr>
          <w:rFonts w:ascii="Times New Roman" w:eastAsia="Times New Roman" w:hAnsi="Times New Roman" w:cs="Times New Roman"/>
          <w:b/>
          <w:bCs/>
          <w:sz w:val="24"/>
          <w:szCs w:val="24"/>
        </w:rPr>
      </w:pPr>
    </w:p>
    <w:p w:rsidR="0007237D" w:rsidRPr="0007237D" w:rsidRDefault="0007237D" w:rsidP="0007237D">
      <w:pPr>
        <w:spacing w:after="0"/>
        <w:jc w:val="both"/>
        <w:rPr>
          <w:rFonts w:ascii="Times New Roman" w:eastAsia="Times New Roman" w:hAnsi="Times New Roman" w:cs="Times New Roman"/>
          <w:b/>
          <w:bCs/>
          <w:sz w:val="24"/>
          <w:szCs w:val="24"/>
        </w:rPr>
      </w:pPr>
    </w:p>
    <w:p w:rsidR="0007237D" w:rsidRPr="0007237D" w:rsidRDefault="0007237D" w:rsidP="0007237D">
      <w:pPr>
        <w:spacing w:after="0"/>
        <w:jc w:val="both"/>
        <w:rPr>
          <w:rFonts w:ascii="Times New Roman" w:eastAsia="Times New Roman" w:hAnsi="Times New Roman" w:cs="Times New Roman"/>
          <w:b/>
          <w:bCs/>
          <w:sz w:val="24"/>
          <w:szCs w:val="24"/>
        </w:rPr>
      </w:pPr>
    </w:p>
    <w:p w:rsidR="0007237D" w:rsidRPr="0007237D" w:rsidRDefault="0007237D" w:rsidP="0007237D">
      <w:pPr>
        <w:spacing w:after="0"/>
        <w:jc w:val="both"/>
        <w:rPr>
          <w:rFonts w:ascii="Times New Roman" w:eastAsia="Times New Roman" w:hAnsi="Times New Roman" w:cs="Times New Roman"/>
          <w:b/>
          <w:bCs/>
          <w:sz w:val="24"/>
          <w:szCs w:val="24"/>
        </w:rPr>
      </w:pPr>
    </w:p>
    <w:p w:rsidR="0007237D" w:rsidRPr="0007237D" w:rsidRDefault="0007237D" w:rsidP="0007237D">
      <w:pPr>
        <w:spacing w:after="0"/>
        <w:jc w:val="both"/>
        <w:rPr>
          <w:rFonts w:ascii="Times New Roman" w:eastAsia="Times New Roman" w:hAnsi="Times New Roman" w:cs="Times New Roman"/>
          <w:b/>
          <w:bCs/>
          <w:sz w:val="24"/>
          <w:szCs w:val="24"/>
        </w:rPr>
      </w:pPr>
    </w:p>
    <w:p w:rsidR="0007237D" w:rsidRPr="0007237D" w:rsidRDefault="0007237D" w:rsidP="0007237D">
      <w:pPr>
        <w:spacing w:after="0"/>
        <w:jc w:val="both"/>
        <w:rPr>
          <w:rFonts w:ascii="Times New Roman" w:eastAsia="Times New Roman" w:hAnsi="Times New Roman" w:cs="Times New Roman"/>
          <w:b/>
          <w:bCs/>
          <w:sz w:val="24"/>
          <w:szCs w:val="24"/>
        </w:rPr>
      </w:pPr>
    </w:p>
    <w:p w:rsidR="0007237D" w:rsidRPr="0007237D" w:rsidRDefault="0007237D" w:rsidP="0007237D">
      <w:pPr>
        <w:spacing w:after="0"/>
        <w:jc w:val="both"/>
        <w:rPr>
          <w:rFonts w:ascii="Times New Roman" w:eastAsia="Times New Roman" w:hAnsi="Times New Roman" w:cs="Times New Roman"/>
          <w:b/>
          <w:bCs/>
          <w:sz w:val="24"/>
          <w:szCs w:val="24"/>
        </w:rPr>
      </w:pPr>
    </w:p>
    <w:p w:rsidR="0007237D" w:rsidRPr="0007237D" w:rsidRDefault="0007237D" w:rsidP="0007237D">
      <w:pPr>
        <w:spacing w:after="0"/>
        <w:jc w:val="center"/>
        <w:rPr>
          <w:rFonts w:ascii="Times New Roman" w:eastAsia="Times New Roman" w:hAnsi="Times New Roman" w:cs="Times New Roman"/>
          <w:b/>
          <w:bCs/>
          <w:sz w:val="24"/>
          <w:szCs w:val="24"/>
        </w:rPr>
      </w:pPr>
    </w:p>
    <w:p w:rsidR="0007237D" w:rsidRPr="0007237D" w:rsidRDefault="0007237D" w:rsidP="0007237D">
      <w:pPr>
        <w:spacing w:after="0"/>
        <w:jc w:val="center"/>
        <w:rPr>
          <w:rFonts w:ascii="Times New Roman" w:eastAsia="Times New Roman" w:hAnsi="Times New Roman" w:cs="Times New Roman"/>
          <w:b/>
          <w:bCs/>
          <w:sz w:val="24"/>
          <w:szCs w:val="24"/>
        </w:rPr>
      </w:pPr>
      <w:r w:rsidRPr="0007237D">
        <w:rPr>
          <w:rFonts w:ascii="Times New Roman" w:eastAsia="Times New Roman" w:hAnsi="Times New Roman" w:cs="Times New Roman"/>
          <w:b/>
          <w:bCs/>
          <w:sz w:val="24"/>
          <w:szCs w:val="24"/>
        </w:rPr>
        <w:t>WHY ARE THERE SO MANY CHECK CASHING IN MINORITY COMMUNITY IN USA</w:t>
      </w:r>
    </w:p>
    <w:p w:rsidR="0007237D" w:rsidRPr="0007237D" w:rsidRDefault="0007237D" w:rsidP="0007237D">
      <w:pPr>
        <w:spacing w:after="0"/>
        <w:jc w:val="center"/>
        <w:rPr>
          <w:rFonts w:ascii="Times New Roman" w:eastAsia="Times New Roman" w:hAnsi="Times New Roman" w:cs="Times New Roman"/>
          <w:bCs/>
          <w:sz w:val="24"/>
          <w:szCs w:val="24"/>
        </w:rPr>
      </w:pPr>
      <w:r w:rsidRPr="0007237D">
        <w:rPr>
          <w:rFonts w:ascii="Times New Roman" w:eastAsia="Times New Roman" w:hAnsi="Times New Roman" w:cs="Times New Roman"/>
          <w:bCs/>
          <w:sz w:val="24"/>
          <w:szCs w:val="24"/>
        </w:rPr>
        <w:t>Name:</w:t>
      </w:r>
    </w:p>
    <w:p w:rsidR="0007237D" w:rsidRPr="0007237D" w:rsidRDefault="0007237D" w:rsidP="0007237D">
      <w:pPr>
        <w:spacing w:after="0"/>
        <w:jc w:val="center"/>
        <w:rPr>
          <w:rFonts w:ascii="Times New Roman" w:eastAsia="Times New Roman" w:hAnsi="Times New Roman" w:cs="Times New Roman"/>
          <w:bCs/>
          <w:sz w:val="24"/>
          <w:szCs w:val="24"/>
        </w:rPr>
      </w:pPr>
      <w:r w:rsidRPr="0007237D">
        <w:rPr>
          <w:rFonts w:ascii="Times New Roman" w:eastAsia="Times New Roman" w:hAnsi="Times New Roman" w:cs="Times New Roman"/>
          <w:bCs/>
          <w:sz w:val="24"/>
          <w:szCs w:val="24"/>
        </w:rPr>
        <w:t>Tutor:</w:t>
      </w:r>
    </w:p>
    <w:p w:rsidR="0007237D" w:rsidRPr="0007237D" w:rsidRDefault="0007237D" w:rsidP="0007237D">
      <w:pPr>
        <w:spacing w:after="0"/>
        <w:jc w:val="center"/>
        <w:rPr>
          <w:rFonts w:ascii="Times New Roman" w:eastAsia="Times New Roman" w:hAnsi="Times New Roman" w:cs="Times New Roman"/>
          <w:bCs/>
          <w:sz w:val="24"/>
          <w:szCs w:val="24"/>
        </w:rPr>
      </w:pPr>
      <w:r w:rsidRPr="0007237D">
        <w:rPr>
          <w:rFonts w:ascii="Times New Roman" w:eastAsia="Times New Roman" w:hAnsi="Times New Roman" w:cs="Times New Roman"/>
          <w:bCs/>
          <w:sz w:val="24"/>
          <w:szCs w:val="24"/>
        </w:rPr>
        <w:t>Institution:</w:t>
      </w:r>
    </w:p>
    <w:p w:rsidR="0007237D" w:rsidRPr="0007237D" w:rsidRDefault="0007237D" w:rsidP="0007237D">
      <w:pPr>
        <w:spacing w:after="0"/>
        <w:jc w:val="both"/>
        <w:rPr>
          <w:rFonts w:ascii="Times New Roman" w:eastAsia="Times New Roman" w:hAnsi="Times New Roman" w:cs="Times New Roman"/>
          <w:b/>
          <w:bCs/>
          <w:sz w:val="24"/>
          <w:szCs w:val="24"/>
        </w:rPr>
      </w:pPr>
    </w:p>
    <w:p w:rsidR="0007237D" w:rsidRPr="0007237D" w:rsidRDefault="0007237D" w:rsidP="0007237D">
      <w:pPr>
        <w:spacing w:after="0"/>
        <w:jc w:val="both"/>
        <w:rPr>
          <w:rFonts w:ascii="Times New Roman" w:eastAsia="Times New Roman" w:hAnsi="Times New Roman" w:cs="Times New Roman"/>
          <w:b/>
          <w:bCs/>
          <w:sz w:val="24"/>
          <w:szCs w:val="24"/>
        </w:rPr>
      </w:pPr>
    </w:p>
    <w:p w:rsidR="0007237D" w:rsidRPr="0007237D" w:rsidRDefault="0007237D" w:rsidP="0007237D">
      <w:pPr>
        <w:spacing w:after="0"/>
        <w:jc w:val="both"/>
        <w:rPr>
          <w:rFonts w:ascii="Times New Roman" w:eastAsia="Times New Roman" w:hAnsi="Times New Roman" w:cs="Times New Roman"/>
          <w:b/>
          <w:bCs/>
          <w:sz w:val="24"/>
          <w:szCs w:val="24"/>
        </w:rPr>
      </w:pPr>
    </w:p>
    <w:p w:rsidR="0007237D" w:rsidRPr="0007237D" w:rsidRDefault="0007237D" w:rsidP="0007237D">
      <w:pPr>
        <w:spacing w:after="0"/>
        <w:jc w:val="both"/>
        <w:rPr>
          <w:rFonts w:ascii="Times New Roman" w:eastAsia="Times New Roman" w:hAnsi="Times New Roman" w:cs="Times New Roman"/>
          <w:b/>
          <w:bCs/>
          <w:sz w:val="24"/>
          <w:szCs w:val="24"/>
        </w:rPr>
      </w:pPr>
    </w:p>
    <w:p w:rsidR="0007237D" w:rsidRPr="0007237D" w:rsidRDefault="0007237D" w:rsidP="0007237D">
      <w:pPr>
        <w:spacing w:after="0"/>
        <w:jc w:val="both"/>
        <w:rPr>
          <w:rFonts w:ascii="Times New Roman" w:eastAsia="Times New Roman" w:hAnsi="Times New Roman" w:cs="Times New Roman"/>
          <w:b/>
          <w:bCs/>
          <w:sz w:val="24"/>
          <w:szCs w:val="24"/>
        </w:rPr>
      </w:pPr>
    </w:p>
    <w:p w:rsidR="0007237D" w:rsidRPr="0007237D" w:rsidRDefault="0007237D" w:rsidP="0007237D">
      <w:pPr>
        <w:spacing w:after="0"/>
        <w:jc w:val="both"/>
        <w:rPr>
          <w:rFonts w:ascii="Times New Roman" w:eastAsia="Times New Roman" w:hAnsi="Times New Roman" w:cs="Times New Roman"/>
          <w:b/>
          <w:bCs/>
          <w:sz w:val="24"/>
          <w:szCs w:val="24"/>
        </w:rPr>
      </w:pPr>
    </w:p>
    <w:p w:rsidR="0007237D" w:rsidRPr="0007237D" w:rsidRDefault="0007237D" w:rsidP="0007237D">
      <w:pPr>
        <w:spacing w:after="0"/>
        <w:jc w:val="both"/>
        <w:rPr>
          <w:rFonts w:ascii="Times New Roman" w:eastAsia="Times New Roman" w:hAnsi="Times New Roman" w:cs="Times New Roman"/>
          <w:b/>
          <w:bCs/>
          <w:sz w:val="24"/>
          <w:szCs w:val="24"/>
        </w:rPr>
      </w:pPr>
    </w:p>
    <w:p w:rsidR="0007237D" w:rsidRPr="0007237D" w:rsidRDefault="0007237D" w:rsidP="0007237D">
      <w:pPr>
        <w:spacing w:after="0"/>
        <w:jc w:val="both"/>
        <w:rPr>
          <w:rFonts w:ascii="Times New Roman" w:eastAsia="Times New Roman" w:hAnsi="Times New Roman" w:cs="Times New Roman"/>
          <w:b/>
          <w:bCs/>
          <w:sz w:val="24"/>
          <w:szCs w:val="24"/>
        </w:rPr>
      </w:pPr>
    </w:p>
    <w:p w:rsidR="0007237D" w:rsidRPr="0007237D" w:rsidRDefault="0007237D" w:rsidP="0007237D">
      <w:pPr>
        <w:spacing w:after="0"/>
        <w:jc w:val="both"/>
        <w:rPr>
          <w:rFonts w:ascii="Times New Roman" w:eastAsia="Times New Roman" w:hAnsi="Times New Roman" w:cs="Times New Roman"/>
          <w:b/>
          <w:bCs/>
          <w:sz w:val="24"/>
          <w:szCs w:val="24"/>
        </w:rPr>
      </w:pPr>
    </w:p>
    <w:p w:rsidR="0007237D" w:rsidRPr="0007237D" w:rsidRDefault="0007237D" w:rsidP="0007237D">
      <w:pPr>
        <w:spacing w:after="0"/>
        <w:jc w:val="center"/>
        <w:rPr>
          <w:rFonts w:ascii="Times New Roman" w:eastAsia="Times New Roman" w:hAnsi="Times New Roman" w:cs="Times New Roman"/>
          <w:sz w:val="24"/>
          <w:szCs w:val="24"/>
        </w:rPr>
      </w:pPr>
      <w:r w:rsidRPr="0007237D">
        <w:rPr>
          <w:rFonts w:ascii="Times New Roman" w:eastAsia="Times New Roman" w:hAnsi="Times New Roman" w:cs="Times New Roman"/>
          <w:b/>
          <w:bCs/>
          <w:sz w:val="24"/>
          <w:szCs w:val="24"/>
        </w:rPr>
        <w:lastRenderedPageBreak/>
        <w:t>Abstract</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The majorities of minority communities are unbanked and hence interact largely with check cashing industry to perform their financial transactions. These communities are less privileged in the asymmetry of information and are also largely disadvantaged by their geographical location. The large number capacity of the minority community is low and moderate income earners. The study identifies the financial behaviors of the minority communities and their perceptions of financial markets. </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The decision of participating in the check cashing industry has been seen to be jointly related to the decision of remaining unbanked. As a result, there is an increase in check-cashing business as the demand increases. Mostly, it has largely been a result of low income, the proximity of banks is unfavorable, unsuitable working hours, increase legal requirements in opening a bank account, and most especially, increased convenience of check cashing process being fast. </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The study has two reports from Pew Heath Group, 2010, and Federal Deposit Insurance Corporation (FDIC) 2011. The conclusion of the study recommended the need to spread financial knowledge to everyone and especially to those living in remote areas.</w:t>
      </w: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center"/>
        <w:rPr>
          <w:rFonts w:ascii="Times New Roman" w:eastAsia="Times New Roman" w:hAnsi="Times New Roman" w:cs="Times New Roman"/>
          <w:sz w:val="24"/>
          <w:szCs w:val="24"/>
        </w:rPr>
      </w:pPr>
      <w:r w:rsidRPr="0007237D">
        <w:rPr>
          <w:rFonts w:ascii="Times New Roman" w:eastAsia="Times New Roman" w:hAnsi="Times New Roman" w:cs="Times New Roman"/>
          <w:b/>
          <w:bCs/>
          <w:sz w:val="24"/>
          <w:szCs w:val="24"/>
        </w:rPr>
        <w:lastRenderedPageBreak/>
        <w:t>Introduction</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In the U.S, there are roughly 24% of minorities families hold no transaction accounts in banks. Most of these minority families comprise; lowly income earners, less educated persons and most of them are young and unemployed</w:t>
      </w:r>
      <w:r w:rsidRPr="0007237D">
        <w:rPr>
          <w:rFonts w:ascii="Times New Roman" w:hAnsi="Times New Roman" w:cs="Times New Roman"/>
          <w:sz w:val="24"/>
          <w:szCs w:val="24"/>
          <w:lang w:val="en"/>
        </w:rPr>
        <w:t xml:space="preserve"> </w:t>
      </w:r>
      <w:r>
        <w:rPr>
          <w:rFonts w:ascii="Times New Roman" w:hAnsi="Times New Roman" w:cs="Times New Roman"/>
          <w:sz w:val="24"/>
          <w:szCs w:val="24"/>
          <w:lang w:val="en"/>
        </w:rPr>
        <w:t>(Shackman &amp; Tenney, 2006)</w:t>
      </w:r>
      <w:r w:rsidRPr="0007237D">
        <w:rPr>
          <w:rFonts w:ascii="Times New Roman" w:eastAsia="Times New Roman" w:hAnsi="Times New Roman" w:cs="Times New Roman"/>
          <w:sz w:val="24"/>
          <w:szCs w:val="24"/>
        </w:rPr>
        <w:t>. There are less than 5% of these groups who are whites. The unbanked which is greatly represented by the minorities carry out most of their basic financial transactions include paying bills and cashing payroll checks.</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Unbanked communities find easy and fast alternatives to making their financial transactions. This has increased the need for a market for the check cashing industry as a response. Check cashing industry include services such as payment of local utility bills, wiring money transfers, selling money orders, and cashing checks</w:t>
      </w:r>
      <w:r w:rsidRPr="0007237D">
        <w:rPr>
          <w:rFonts w:ascii="Times New Roman" w:hAnsi="Times New Roman" w:cs="Times New Roman"/>
          <w:sz w:val="24"/>
          <w:szCs w:val="24"/>
          <w:lang w:val="en"/>
        </w:rPr>
        <w:t xml:space="preserve"> </w:t>
      </w:r>
      <w:r>
        <w:rPr>
          <w:rFonts w:ascii="Times New Roman" w:hAnsi="Times New Roman" w:cs="Times New Roman"/>
          <w:sz w:val="24"/>
          <w:szCs w:val="24"/>
          <w:lang w:val="en"/>
        </w:rPr>
        <w:t>(Bos, Carter &amp; Skiba, 2012)</w:t>
      </w:r>
      <w:r w:rsidRPr="0007237D">
        <w:rPr>
          <w:rFonts w:ascii="Times New Roman" w:eastAsia="Times New Roman" w:hAnsi="Times New Roman" w:cs="Times New Roman"/>
          <w:sz w:val="24"/>
          <w:szCs w:val="24"/>
        </w:rPr>
        <w:t>. Most researchers have tried to explain the widespread growth in the check-cashing businesses but the question remains unanswered. Some claim that bank branches have reduced in number as a result of acquisitions and mergers. </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They also advocated that the geographical areas serve as a factor, they are mostly located in rural areas and less developed locations where competition is manageable in providing financial services to customers. It is also contended that the working hours for most banks are not convenient for some people</w:t>
      </w:r>
      <w:r w:rsidRPr="0007237D">
        <w:rPr>
          <w:rFonts w:ascii="Times New Roman" w:hAnsi="Times New Roman" w:cs="Times New Roman"/>
          <w:sz w:val="24"/>
          <w:szCs w:val="24"/>
          <w:lang w:val="en"/>
        </w:rPr>
        <w:t xml:space="preserve"> </w:t>
      </w:r>
      <w:r>
        <w:rPr>
          <w:rFonts w:ascii="Times New Roman" w:hAnsi="Times New Roman" w:cs="Times New Roman"/>
          <w:sz w:val="24"/>
          <w:szCs w:val="24"/>
          <w:lang w:val="en"/>
        </w:rPr>
        <w:t>(Caskey, 1994)</w:t>
      </w:r>
      <w:r w:rsidRPr="0007237D">
        <w:rPr>
          <w:rFonts w:ascii="Times New Roman" w:eastAsia="Times New Roman" w:hAnsi="Times New Roman" w:cs="Times New Roman"/>
          <w:sz w:val="24"/>
          <w:szCs w:val="24"/>
        </w:rPr>
        <w:t>. Moreover, the combination of services provided in the check cashing industry is a mix of products that tends to be very attractive to customers. </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However, it is unfortunate how most customers lack relevant information and knowledge of the advantages of being involved in a formal financial service provider. Opening an account with them reduces the risk to the customers of theft and fosters wealth creation and asset building such as mortgages. </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lastRenderedPageBreak/>
        <w:t>The US government treasury implemented the Debt Collection Improvement Act (DCIA) IN 1996 where the unbanked could get financial serviced to support their business. As a result, the Electronic Transfer Accounts (ETAs) were created to cater to the unbanked minority group where there are minimal deposit charges</w:t>
      </w:r>
      <w:r w:rsidRPr="0007237D">
        <w:rPr>
          <w:rFonts w:ascii="Times New Roman" w:hAnsi="Times New Roman" w:cs="Times New Roman"/>
          <w:sz w:val="24"/>
          <w:szCs w:val="24"/>
          <w:lang w:val="en"/>
        </w:rPr>
        <w:t xml:space="preserve"> </w:t>
      </w:r>
      <w:r>
        <w:rPr>
          <w:rFonts w:ascii="Times New Roman" w:hAnsi="Times New Roman" w:cs="Times New Roman"/>
          <w:sz w:val="24"/>
          <w:szCs w:val="24"/>
          <w:lang w:val="en"/>
        </w:rPr>
        <w:t>(Pew Health Group, 2010)</w:t>
      </w:r>
      <w:r w:rsidRPr="0007237D">
        <w:rPr>
          <w:rFonts w:ascii="Times New Roman" w:eastAsia="Times New Roman" w:hAnsi="Times New Roman" w:cs="Times New Roman"/>
          <w:sz w:val="24"/>
          <w:szCs w:val="24"/>
        </w:rPr>
        <w:t>. This provision was effective to the unbanked but a study by General Accounting Office (GAO) analyzed the transactions in the various financial institutions involved and concluded that most people didn’t use the electronic system since they were unbanked. GAO, 1999 observed that about 1% of the unbanked had opened the EATS. </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This study analyzes data that helps to explain why check cashing is prioritized in minority communities of the USA</w:t>
      </w:r>
      <w:r w:rsidRPr="0007237D">
        <w:rPr>
          <w:rFonts w:ascii="Times New Roman" w:hAnsi="Times New Roman" w:cs="Times New Roman"/>
          <w:sz w:val="24"/>
          <w:szCs w:val="24"/>
          <w:lang w:val="en"/>
        </w:rPr>
        <w:t xml:space="preserve"> </w:t>
      </w:r>
      <w:r>
        <w:rPr>
          <w:rFonts w:ascii="Times New Roman" w:hAnsi="Times New Roman" w:cs="Times New Roman"/>
          <w:sz w:val="24"/>
          <w:szCs w:val="24"/>
          <w:lang w:val="en"/>
        </w:rPr>
        <w:t>(Burhouse &amp; Osaki, 2012)</w:t>
      </w:r>
      <w:r w:rsidRPr="0007237D">
        <w:rPr>
          <w:rFonts w:ascii="Times New Roman" w:eastAsia="Times New Roman" w:hAnsi="Times New Roman" w:cs="Times New Roman"/>
          <w:sz w:val="24"/>
          <w:szCs w:val="24"/>
        </w:rPr>
        <w:t>. The customer’s choice to get involved in a business that allows ash checking is jointly made with the choice of being unbanked. The reasons to remain unbanked vary depending on the race. Most of the communities leading in such businesses are the Hispanics and the blacks. The findings of the study will touch on why the DCIA of 1996 was unsuccessful in upbringing the unbanked into banking platforms.</w:t>
      </w:r>
    </w:p>
    <w:p w:rsidR="0007237D" w:rsidRPr="0007237D" w:rsidRDefault="0007237D" w:rsidP="0007237D">
      <w:pPr>
        <w:spacing w:after="0"/>
        <w:ind w:firstLine="720"/>
        <w:jc w:val="both"/>
        <w:rPr>
          <w:rFonts w:ascii="Times New Roman" w:eastAsia="Times New Roman" w:hAnsi="Times New Roman" w:cs="Times New Roman"/>
          <w:sz w:val="24"/>
          <w:szCs w:val="24"/>
        </w:rPr>
      </w:pPr>
    </w:p>
    <w:p w:rsidR="0007237D" w:rsidRPr="0007237D" w:rsidRDefault="0007237D" w:rsidP="0007237D">
      <w:pPr>
        <w:spacing w:after="0"/>
        <w:jc w:val="center"/>
        <w:rPr>
          <w:rFonts w:ascii="Times New Roman" w:eastAsia="Times New Roman" w:hAnsi="Times New Roman" w:cs="Times New Roman"/>
          <w:sz w:val="24"/>
          <w:szCs w:val="24"/>
        </w:rPr>
      </w:pPr>
      <w:r w:rsidRPr="0007237D">
        <w:rPr>
          <w:rFonts w:ascii="Times New Roman" w:eastAsia="Times New Roman" w:hAnsi="Times New Roman" w:cs="Times New Roman"/>
          <w:b/>
          <w:bCs/>
          <w:sz w:val="24"/>
          <w:szCs w:val="24"/>
        </w:rPr>
        <w:t>Background of the study</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Check to cash has been greatly involved with the unbanked group. Those that don’t want to have a bank account have ended up in check cashing activities. Access to banking services from insured financial institutions has provided an opportunity to carry out basic financial transactions, save money for security, and save money for emergency reasons, and access credit facilities on fair terms</w:t>
      </w:r>
      <w:r w:rsidRPr="0007237D">
        <w:rPr>
          <w:rFonts w:ascii="Times New Roman" w:hAnsi="Times New Roman" w:cs="Times New Roman"/>
          <w:sz w:val="24"/>
          <w:szCs w:val="24"/>
          <w:lang w:val="en"/>
        </w:rPr>
        <w:t xml:space="preserve"> </w:t>
      </w:r>
      <w:r>
        <w:rPr>
          <w:rFonts w:ascii="Times New Roman" w:hAnsi="Times New Roman" w:cs="Times New Roman"/>
          <w:color w:val="222222"/>
          <w:sz w:val="24"/>
          <w:szCs w:val="24"/>
        </w:rPr>
        <w:t>(Klawitter &amp; Fletschner, 2006)</w:t>
      </w:r>
      <w:r>
        <w:rPr>
          <w:rFonts w:ascii="Times New Roman" w:hAnsi="Times New Roman" w:cs="Times New Roman"/>
          <w:color w:val="222222"/>
          <w:sz w:val="24"/>
          <w:szCs w:val="24"/>
        </w:rPr>
        <w:t xml:space="preserve">. </w:t>
      </w:r>
      <w:r w:rsidRPr="0007237D">
        <w:rPr>
          <w:rFonts w:ascii="Times New Roman" w:eastAsia="Times New Roman" w:hAnsi="Times New Roman" w:cs="Times New Roman"/>
          <w:sz w:val="24"/>
          <w:szCs w:val="24"/>
        </w:rPr>
        <w:t>In banking, most households are protected from discriminatory lending practices and theft.</w:t>
      </w:r>
    </w:p>
    <w:p w:rsidR="0007237D" w:rsidRPr="0007237D" w:rsidRDefault="0007237D" w:rsidP="0007237D">
      <w:pPr>
        <w:spacing w:after="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lastRenderedPageBreak/>
        <w:t> </w:t>
      </w:r>
      <w:r w:rsidRPr="0007237D">
        <w:rPr>
          <w:rFonts w:ascii="Times New Roman" w:eastAsia="Times New Roman" w:hAnsi="Times New Roman" w:cs="Times New Roman"/>
          <w:sz w:val="24"/>
          <w:szCs w:val="24"/>
        </w:rPr>
        <w:tab/>
        <w:t>Despite the many benefits, low and moderate-income earners do not access the bank facilities such as cheap loans</w:t>
      </w:r>
      <w:r w:rsidRPr="0007237D">
        <w:rPr>
          <w:rFonts w:ascii="Times New Roman" w:hAnsi="Times New Roman" w:cs="Times New Roman"/>
          <w:sz w:val="24"/>
          <w:szCs w:val="24"/>
          <w:lang w:val="en"/>
        </w:rPr>
        <w:t xml:space="preserve"> </w:t>
      </w:r>
      <w:r>
        <w:rPr>
          <w:rFonts w:ascii="Times New Roman" w:hAnsi="Times New Roman" w:cs="Times New Roman"/>
          <w:sz w:val="24"/>
          <w:szCs w:val="24"/>
          <w:lang w:val="en"/>
        </w:rPr>
        <w:t>(Caskey, 1994)</w:t>
      </w:r>
      <w:r w:rsidRPr="0007237D">
        <w:rPr>
          <w:rFonts w:ascii="Times New Roman" w:eastAsia="Times New Roman" w:hAnsi="Times New Roman" w:cs="Times New Roman"/>
          <w:sz w:val="24"/>
          <w:szCs w:val="24"/>
        </w:rPr>
        <w:t>. Others do have a bank account but only rely on non-banking service providers. As a result, these households end up incurring high transaction costs, access to credit facilities becomes more vulnerable to theft, may fail to achieve financial security, and have a difficult time to build their credit history.</w:t>
      </w: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center"/>
        <w:rPr>
          <w:rFonts w:ascii="Times New Roman" w:eastAsia="Times New Roman" w:hAnsi="Times New Roman" w:cs="Times New Roman"/>
          <w:sz w:val="24"/>
          <w:szCs w:val="24"/>
        </w:rPr>
      </w:pPr>
      <w:r w:rsidRPr="0007237D">
        <w:rPr>
          <w:rFonts w:ascii="Times New Roman" w:eastAsia="Times New Roman" w:hAnsi="Times New Roman" w:cs="Times New Roman"/>
          <w:b/>
          <w:bCs/>
          <w:sz w:val="24"/>
          <w:szCs w:val="24"/>
        </w:rPr>
        <w:t>Objectives of the study</w:t>
      </w:r>
    </w:p>
    <w:p w:rsidR="0007237D" w:rsidRPr="0007237D" w:rsidRDefault="0007237D" w:rsidP="0007237D">
      <w:pPr>
        <w:spacing w:after="0"/>
        <w:ind w:firstLine="36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The main objective is to find out why to check cashing in minority communities in the US. Other objectives include;</w:t>
      </w:r>
    </w:p>
    <w:p w:rsidR="0007237D" w:rsidRPr="0007237D" w:rsidRDefault="0007237D" w:rsidP="0007237D">
      <w:pPr>
        <w:numPr>
          <w:ilvl w:val="0"/>
          <w:numId w:val="5"/>
        </w:numPr>
        <w:spacing w:after="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To identify the financial behaviors of low and moderate-income earners.</w:t>
      </w:r>
    </w:p>
    <w:p w:rsidR="0007237D" w:rsidRPr="0007237D" w:rsidRDefault="0007237D" w:rsidP="0007237D">
      <w:pPr>
        <w:numPr>
          <w:ilvl w:val="0"/>
          <w:numId w:val="5"/>
        </w:numPr>
        <w:spacing w:after="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To compare the behavior of the banked and unbanked households.</w:t>
      </w:r>
    </w:p>
    <w:p w:rsidR="0007237D" w:rsidRPr="0007237D" w:rsidRDefault="0007237D" w:rsidP="0007237D">
      <w:pPr>
        <w:numPr>
          <w:ilvl w:val="0"/>
          <w:numId w:val="5"/>
        </w:numPr>
        <w:spacing w:after="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To provide policies and recommendations to policymakers and the state at large.</w:t>
      </w:r>
    </w:p>
    <w:p w:rsidR="0007237D" w:rsidRPr="0007237D" w:rsidRDefault="0007237D" w:rsidP="0007237D">
      <w:pPr>
        <w:spacing w:after="0"/>
        <w:ind w:left="72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r w:rsidRPr="0007237D">
        <w:rPr>
          <w:rFonts w:ascii="Times New Roman" w:eastAsia="Times New Roman" w:hAnsi="Times New Roman" w:cs="Times New Roman"/>
          <w:b/>
          <w:bCs/>
          <w:sz w:val="24"/>
          <w:szCs w:val="24"/>
        </w:rPr>
        <w:t>Check-Cashing</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The check-cashing outlet was initially founded in New York City and Chicago in the 1930s. The outlets grew and expanded in the early 1970s. It became more popular as it continued to spread more rapidly in the 1980s and 1990s</w:t>
      </w:r>
      <w:r>
        <w:rPr>
          <w:rFonts w:ascii="Times New Roman" w:eastAsia="Times New Roman" w:hAnsi="Times New Roman" w:cs="Times New Roman"/>
          <w:sz w:val="24"/>
          <w:szCs w:val="24"/>
        </w:rPr>
        <w:t xml:space="preserve"> </w:t>
      </w:r>
      <w:r>
        <w:rPr>
          <w:rFonts w:ascii="Times New Roman" w:hAnsi="Times New Roman" w:cs="Times New Roman"/>
          <w:sz w:val="24"/>
          <w:szCs w:val="24"/>
          <w:lang w:val="en"/>
        </w:rPr>
        <w:t>(Caskey, 1994)</w:t>
      </w:r>
      <w:r w:rsidRPr="0007237D">
        <w:rPr>
          <w:rFonts w:ascii="Times New Roman" w:eastAsia="Times New Roman" w:hAnsi="Times New Roman" w:cs="Times New Roman"/>
          <w:sz w:val="24"/>
          <w:szCs w:val="24"/>
        </w:rPr>
        <w:t>. Its popularity reduced in the following years. The slowdown was highly contributed by the reduced demand in check cashing services. In 2005, the number of check-cashing outlets was about 1300 in the U.S. where most of them were owned by small business people. </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Check-cashing is an outlet where the exchange of cash checks is done at a fee. Mostly, the check being cashed is Government Issue checks or paychecks</w:t>
      </w:r>
      <w:r w:rsidRPr="0007237D">
        <w:rPr>
          <w:rFonts w:ascii="Times New Roman" w:hAnsi="Times New Roman" w:cs="Times New Roman"/>
          <w:sz w:val="24"/>
          <w:szCs w:val="24"/>
          <w:lang w:val="en"/>
        </w:rPr>
        <w:t xml:space="preserve"> </w:t>
      </w:r>
      <w:r>
        <w:rPr>
          <w:rFonts w:ascii="Times New Roman" w:hAnsi="Times New Roman" w:cs="Times New Roman"/>
          <w:sz w:val="24"/>
          <w:szCs w:val="24"/>
          <w:lang w:val="en"/>
        </w:rPr>
        <w:t>(Bos, Carter &amp; Skiba, 2012)</w:t>
      </w:r>
      <w:r w:rsidRPr="0007237D">
        <w:rPr>
          <w:rFonts w:ascii="Times New Roman" w:eastAsia="Times New Roman" w:hAnsi="Times New Roman" w:cs="Times New Roman"/>
          <w:sz w:val="24"/>
          <w:szCs w:val="24"/>
        </w:rPr>
        <w:t>. </w:t>
      </w: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rPr>
          <w:rFonts w:ascii="Times New Roman" w:eastAsia="Times New Roman" w:hAnsi="Times New Roman" w:cs="Times New Roman"/>
          <w:sz w:val="24"/>
          <w:szCs w:val="24"/>
        </w:rPr>
      </w:pPr>
      <w:r w:rsidRPr="0007237D">
        <w:rPr>
          <w:rFonts w:ascii="Times New Roman" w:eastAsia="Times New Roman" w:hAnsi="Times New Roman" w:cs="Times New Roman"/>
          <w:b/>
          <w:bCs/>
          <w:sz w:val="24"/>
          <w:szCs w:val="24"/>
        </w:rPr>
        <w:lastRenderedPageBreak/>
        <w:t>Recent Trends on check cashing</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The demand for check Cashing Organizations (CCOs) began to slow down as from the mid-1990s making the ability to offer the services becoming very critical. In recent years, the electronic banking system was introduced where direct deposits were done enabling the government agencies and employers to direct their payment into a bank account. There was no charge associated with this type of transfer and since the transfer was immediate, there was no unnecessary hold of funds in between transactions. This system threatened the check-cashing business as the people embraced the electronic banking system</w:t>
      </w:r>
      <w:r w:rsidRPr="0007237D">
        <w:rPr>
          <w:rFonts w:ascii="Times New Roman" w:hAnsi="Times New Roman" w:cs="Times New Roman"/>
          <w:sz w:val="24"/>
          <w:szCs w:val="24"/>
          <w:lang w:val="en"/>
        </w:rPr>
        <w:t xml:space="preserve"> </w:t>
      </w:r>
      <w:r>
        <w:rPr>
          <w:rFonts w:ascii="Times New Roman" w:hAnsi="Times New Roman" w:cs="Times New Roman"/>
          <w:sz w:val="24"/>
          <w:szCs w:val="24"/>
          <w:lang w:val="en"/>
        </w:rPr>
        <w:t>(Caskey, 1994)</w:t>
      </w:r>
      <w:r w:rsidRPr="0007237D">
        <w:rPr>
          <w:rFonts w:ascii="Times New Roman" w:eastAsia="Times New Roman" w:hAnsi="Times New Roman" w:cs="Times New Roman"/>
          <w:sz w:val="24"/>
          <w:szCs w:val="24"/>
        </w:rPr>
        <w:t>. </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In the 21st century, check cashing deposits have become popular for ethnic minority communities and immigrants</w:t>
      </w:r>
      <w:r w:rsidRPr="0007237D">
        <w:rPr>
          <w:rFonts w:ascii="Times New Roman" w:hAnsi="Times New Roman" w:cs="Times New Roman"/>
          <w:sz w:val="24"/>
          <w:szCs w:val="24"/>
          <w:lang w:val="en"/>
        </w:rPr>
        <w:t xml:space="preserve"> </w:t>
      </w:r>
      <w:r>
        <w:rPr>
          <w:rFonts w:ascii="Times New Roman" w:hAnsi="Times New Roman" w:cs="Times New Roman"/>
          <w:sz w:val="24"/>
          <w:szCs w:val="24"/>
          <w:lang w:val="en"/>
        </w:rPr>
        <w:t>(Shackman &amp; Tenney, 2006)</w:t>
      </w:r>
      <w:r w:rsidRPr="0007237D">
        <w:rPr>
          <w:rFonts w:ascii="Times New Roman" w:eastAsia="Times New Roman" w:hAnsi="Times New Roman" w:cs="Times New Roman"/>
          <w:sz w:val="24"/>
          <w:szCs w:val="24"/>
        </w:rPr>
        <w:t>. The proximity of financial institutions is not friendly to most of these communities. Therefore, they have limited access to banks or branches and hence remain stuck with the old methods. Most of these communities are out of reach to a financial advisor, they few luck groups get financial information from faith-based organizations, local financial seminars, and local credit unions.</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Moreover, there have been increased identification issues where most financial institutions have introduced some forms of identification such as Social Security Number and individual taxpayer identification and a U.S. taxpayer identification number making most of the minority communities not eligible for the financial services. </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Check-cashing is commonly used in minority communities. They do not provide credit facilities but rather collect a base fee on a value of check-in return, provide the remaining amount of cash immediately at the time of transaction</w:t>
      </w:r>
      <w:r w:rsidRPr="0007237D">
        <w:rPr>
          <w:rFonts w:ascii="Times New Roman" w:hAnsi="Times New Roman" w:cs="Times New Roman"/>
          <w:sz w:val="24"/>
          <w:szCs w:val="24"/>
          <w:lang w:val="en"/>
        </w:rPr>
        <w:t xml:space="preserve"> </w:t>
      </w:r>
      <w:r>
        <w:rPr>
          <w:rFonts w:ascii="Times New Roman" w:hAnsi="Times New Roman" w:cs="Times New Roman"/>
          <w:sz w:val="24"/>
          <w:szCs w:val="24"/>
          <w:lang w:val="en"/>
        </w:rPr>
        <w:t>(Bos, Carter &amp; Skiba, 2012)</w:t>
      </w:r>
      <w:r w:rsidRPr="0007237D">
        <w:rPr>
          <w:rFonts w:ascii="Times New Roman" w:eastAsia="Times New Roman" w:hAnsi="Times New Roman" w:cs="Times New Roman"/>
          <w:sz w:val="24"/>
          <w:szCs w:val="24"/>
        </w:rPr>
        <w:t xml:space="preserve">. This turnaround of the transaction has been appealing especially to low-income earners. Most of them will require money at a fast hand to make their most basic and daily transactions. The fast speed </w:t>
      </w:r>
      <w:r w:rsidRPr="0007237D">
        <w:rPr>
          <w:rFonts w:ascii="Times New Roman" w:eastAsia="Times New Roman" w:hAnsi="Times New Roman" w:cs="Times New Roman"/>
          <w:sz w:val="24"/>
          <w:szCs w:val="24"/>
        </w:rPr>
        <w:lastRenderedPageBreak/>
        <w:t>of check-cashing explains its popularity even to those with a bank account. The fee charged for cashing out these checks is a percentage of approximately 2.52% to 5% of the check’s face value</w:t>
      </w:r>
      <w:r w:rsidRPr="0007237D">
        <w:rPr>
          <w:rFonts w:ascii="Times New Roman" w:hAnsi="Times New Roman" w:cs="Times New Roman"/>
          <w:sz w:val="24"/>
          <w:szCs w:val="24"/>
          <w:lang w:val="en"/>
        </w:rPr>
        <w:t xml:space="preserve"> </w:t>
      </w:r>
      <w:r>
        <w:rPr>
          <w:rFonts w:ascii="Times New Roman" w:hAnsi="Times New Roman" w:cs="Times New Roman"/>
          <w:sz w:val="24"/>
          <w:szCs w:val="24"/>
          <w:lang w:val="en"/>
        </w:rPr>
        <w:t>(</w:t>
      </w:r>
      <w:r>
        <w:rPr>
          <w:rFonts w:ascii="Times New Roman" w:hAnsi="Times New Roman" w:cs="Times New Roman"/>
          <w:sz w:val="24"/>
          <w:szCs w:val="24"/>
          <w:lang w:val="en"/>
        </w:rPr>
        <w:t>Burkey&amp; Simkins, 2004)</w:t>
      </w:r>
      <w:r w:rsidRPr="0007237D">
        <w:rPr>
          <w:rFonts w:ascii="Times New Roman" w:eastAsia="Times New Roman" w:hAnsi="Times New Roman" w:cs="Times New Roman"/>
          <w:sz w:val="24"/>
          <w:szCs w:val="24"/>
        </w:rPr>
        <w:t>.</w:t>
      </w:r>
    </w:p>
    <w:p w:rsidR="0007237D" w:rsidRPr="0007237D" w:rsidRDefault="0007237D" w:rsidP="0007237D">
      <w:pPr>
        <w:spacing w:after="0"/>
        <w:jc w:val="both"/>
        <w:rPr>
          <w:rFonts w:ascii="Times New Roman" w:eastAsia="Times New Roman" w:hAnsi="Times New Roman" w:cs="Times New Roman"/>
          <w:sz w:val="24"/>
          <w:szCs w:val="24"/>
        </w:rPr>
      </w:pPr>
    </w:p>
    <w:p w:rsidR="0007237D" w:rsidRDefault="0007237D" w:rsidP="0007237D">
      <w:pPr>
        <w:spacing w:after="0"/>
        <w:jc w:val="center"/>
        <w:rPr>
          <w:rFonts w:ascii="Times New Roman" w:eastAsia="Times New Roman" w:hAnsi="Times New Roman" w:cs="Times New Roman"/>
          <w:b/>
          <w:bCs/>
          <w:sz w:val="24"/>
          <w:szCs w:val="24"/>
        </w:rPr>
      </w:pPr>
      <w:r w:rsidRPr="0007237D">
        <w:rPr>
          <w:rFonts w:ascii="Times New Roman" w:eastAsia="Times New Roman" w:hAnsi="Times New Roman" w:cs="Times New Roman"/>
          <w:b/>
          <w:bCs/>
          <w:sz w:val="24"/>
          <w:szCs w:val="24"/>
        </w:rPr>
        <w:t>Literature Review</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iCs/>
          <w:sz w:val="24"/>
          <w:szCs w:val="24"/>
        </w:rPr>
        <w:t>According to</w:t>
      </w:r>
      <w:r w:rsidRPr="0007237D">
        <w:rPr>
          <w:rFonts w:ascii="Times New Roman" w:hAnsi="Times New Roman" w:cs="Times New Roman"/>
          <w:sz w:val="24"/>
          <w:szCs w:val="24"/>
          <w:lang w:val="en"/>
        </w:rPr>
        <w:t xml:space="preserve"> Caskey</w:t>
      </w:r>
      <w:r w:rsidRPr="0007237D">
        <w:rPr>
          <w:rFonts w:ascii="Times New Roman" w:hAnsi="Times New Roman" w:cs="Times New Roman"/>
          <w:sz w:val="24"/>
          <w:szCs w:val="24"/>
          <w:lang w:val="en"/>
        </w:rPr>
        <w:t xml:space="preserve"> 1994</w:t>
      </w:r>
      <w:r w:rsidRPr="0007237D">
        <w:rPr>
          <w:rFonts w:ascii="Times New Roman" w:hAnsi="Times New Roman" w:cs="Times New Roman"/>
          <w:sz w:val="24"/>
          <w:szCs w:val="24"/>
          <w:lang w:val="en"/>
        </w:rPr>
        <w:t>,</w:t>
      </w:r>
      <w:r w:rsidRPr="0007237D">
        <w:rPr>
          <w:rFonts w:ascii="Times New Roman" w:eastAsia="Times New Roman" w:hAnsi="Times New Roman" w:cs="Times New Roman"/>
          <w:i/>
          <w:iCs/>
          <w:sz w:val="24"/>
          <w:szCs w:val="24"/>
        </w:rPr>
        <w:t> </w:t>
      </w:r>
      <w:r w:rsidRPr="0007237D">
        <w:rPr>
          <w:rFonts w:ascii="Times New Roman" w:eastAsia="Times New Roman" w:hAnsi="Times New Roman" w:cs="Times New Roman"/>
          <w:sz w:val="24"/>
          <w:szCs w:val="24"/>
        </w:rPr>
        <w:t>he finds the growth in the 1980s of the check-cashing outlet having a direct relationship with the growth of pawnshops. He related with the pawnshops for they shared similar clientele and both acted as traditional saving banks. He argued that their growth was greatly attributed to increasing competition in banks, increased ban fees, and made the business even more profitable. </w:t>
      </w:r>
      <w:r w:rsidRPr="0007237D">
        <w:rPr>
          <w:rFonts w:ascii="Times New Roman" w:eastAsia="Times New Roman" w:hAnsi="Times New Roman" w:cs="Times New Roman"/>
          <w:iCs/>
          <w:sz w:val="24"/>
          <w:szCs w:val="24"/>
        </w:rPr>
        <w:t xml:space="preserve">In the research of </w:t>
      </w:r>
      <w:r w:rsidRPr="0007237D">
        <w:rPr>
          <w:rFonts w:ascii="Times New Roman" w:hAnsi="Times New Roman" w:cs="Times New Roman"/>
          <w:sz w:val="24"/>
          <w:szCs w:val="24"/>
          <w:lang w:val="en"/>
        </w:rPr>
        <w:t>Prager</w:t>
      </w:r>
      <w:r w:rsidRPr="0007237D">
        <w:rPr>
          <w:rFonts w:ascii="Times New Roman" w:hAnsi="Times New Roman" w:cs="Times New Roman"/>
          <w:sz w:val="24"/>
          <w:szCs w:val="24"/>
          <w:lang w:val="en"/>
        </w:rPr>
        <w:t xml:space="preserve"> 2009</w:t>
      </w:r>
      <w:r w:rsidRPr="0007237D">
        <w:rPr>
          <w:rFonts w:ascii="Times New Roman" w:hAnsi="Times New Roman" w:cs="Times New Roman"/>
          <w:sz w:val="24"/>
          <w:szCs w:val="24"/>
          <w:lang w:val="en"/>
        </w:rPr>
        <w:t>,</w:t>
      </w:r>
      <w:r w:rsidRPr="0007237D">
        <w:rPr>
          <w:rFonts w:ascii="Times New Roman" w:eastAsia="Times New Roman" w:hAnsi="Times New Roman" w:cs="Times New Roman"/>
          <w:sz w:val="24"/>
          <w:szCs w:val="24"/>
        </w:rPr>
        <w:t> he recognizes that most banks closed down their branches in areas where low-income earners were populated. He argues that deregulation led to the increased competition between banks that resulted in some of the branches closing hence opening great opportunities for cash checking outlet and pawnshop growth. </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Hispanics as compared to whites are less likely to own assists like checking accounts. According to</w:t>
      </w:r>
      <w:r w:rsidRPr="0007237D">
        <w:rPr>
          <w:rFonts w:ascii="Times New Roman" w:hAnsi="Times New Roman" w:cs="Times New Roman"/>
          <w:sz w:val="24"/>
          <w:szCs w:val="24"/>
          <w:lang w:val="en"/>
        </w:rPr>
        <w:t xml:space="preserve"> Burkey&amp; Simkins</w:t>
      </w:r>
      <w:r w:rsidRPr="0007237D">
        <w:rPr>
          <w:rFonts w:ascii="Times New Roman" w:hAnsi="Times New Roman" w:cs="Times New Roman"/>
          <w:sz w:val="24"/>
          <w:szCs w:val="24"/>
          <w:lang w:val="en"/>
        </w:rPr>
        <w:t xml:space="preserve"> 2004</w:t>
      </w:r>
      <w:r w:rsidRPr="0007237D">
        <w:rPr>
          <w:rFonts w:ascii="Times New Roman" w:hAnsi="Times New Roman" w:cs="Times New Roman"/>
          <w:sz w:val="24"/>
          <w:szCs w:val="24"/>
          <w:lang w:val="en"/>
        </w:rPr>
        <w:t xml:space="preserve">, </w:t>
      </w:r>
      <w:r w:rsidRPr="0007237D">
        <w:rPr>
          <w:rFonts w:ascii="Times New Roman" w:eastAsia="Times New Roman" w:hAnsi="Times New Roman" w:cs="Times New Roman"/>
          <w:sz w:val="24"/>
          <w:szCs w:val="24"/>
        </w:rPr>
        <w:t>there is about one-third of the Hispanics who are born in the US while half of the Hispanic group comes from foreign countries that are unbanked. Most of the people with low income seem to fail in making wise decisions in their money spending habits. For instance, low-income families are more likely to prefer other alternative forms of banking such as payday loans and check cashing instead of formal banking practices. These practices are unfortunately a disincentive to save (</w:t>
      </w:r>
      <w:r w:rsidRPr="0007237D">
        <w:rPr>
          <w:rFonts w:ascii="Times New Roman" w:hAnsi="Times New Roman" w:cs="Times New Roman"/>
          <w:sz w:val="24"/>
          <w:szCs w:val="24"/>
          <w:lang w:val="en"/>
        </w:rPr>
        <w:t>Caskey, 1994</w:t>
      </w:r>
      <w:r w:rsidRPr="0007237D">
        <w:rPr>
          <w:rFonts w:ascii="Times New Roman" w:hAnsi="Times New Roman" w:cs="Times New Roman"/>
          <w:sz w:val="24"/>
          <w:szCs w:val="24"/>
          <w:lang w:val="en"/>
        </w:rPr>
        <w:t>)</w:t>
      </w:r>
      <w:r w:rsidRPr="0007237D">
        <w:rPr>
          <w:rFonts w:ascii="Times New Roman" w:eastAsia="Times New Roman" w:hAnsi="Times New Roman" w:cs="Times New Roman"/>
          <w:sz w:val="24"/>
          <w:szCs w:val="24"/>
        </w:rPr>
        <w:t>.</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According to</w:t>
      </w:r>
      <w:r w:rsidRPr="0007237D">
        <w:rPr>
          <w:rFonts w:ascii="Times New Roman" w:hAnsi="Times New Roman" w:cs="Times New Roman"/>
          <w:sz w:val="24"/>
          <w:szCs w:val="24"/>
          <w:lang w:val="en"/>
        </w:rPr>
        <w:t xml:space="preserve"> Pew Health Group </w:t>
      </w:r>
      <w:r w:rsidRPr="0007237D">
        <w:rPr>
          <w:rFonts w:ascii="Times New Roman" w:hAnsi="Times New Roman" w:cs="Times New Roman"/>
          <w:sz w:val="24"/>
          <w:szCs w:val="24"/>
          <w:lang w:val="en"/>
        </w:rPr>
        <w:t>2010</w:t>
      </w:r>
      <w:r w:rsidRPr="0007237D">
        <w:rPr>
          <w:rFonts w:ascii="Times New Roman" w:hAnsi="Times New Roman" w:cs="Times New Roman"/>
          <w:sz w:val="24"/>
          <w:szCs w:val="24"/>
          <w:lang w:val="en"/>
        </w:rPr>
        <w:t xml:space="preserve">, the research </w:t>
      </w:r>
      <w:r w:rsidRPr="0007237D">
        <w:rPr>
          <w:rFonts w:ascii="Times New Roman" w:eastAsia="Times New Roman" w:hAnsi="Times New Roman" w:cs="Times New Roman"/>
          <w:sz w:val="24"/>
          <w:szCs w:val="24"/>
        </w:rPr>
        <w:t xml:space="preserve">explains that households with features such as low age, low education, low income, Spanish-speaking, noncitizens, and other </w:t>
      </w:r>
      <w:r w:rsidRPr="0007237D">
        <w:rPr>
          <w:rFonts w:ascii="Times New Roman" w:eastAsia="Times New Roman" w:hAnsi="Times New Roman" w:cs="Times New Roman"/>
          <w:sz w:val="24"/>
          <w:szCs w:val="24"/>
        </w:rPr>
        <w:lastRenderedPageBreak/>
        <w:t>minorities are demographics of the unbanked community.</w:t>
      </w:r>
      <w:r w:rsidRPr="0007237D">
        <w:rPr>
          <w:rFonts w:ascii="Times New Roman" w:hAnsi="Times New Roman" w:cs="Times New Roman"/>
          <w:sz w:val="24"/>
          <w:szCs w:val="24"/>
          <w:lang w:val="en"/>
        </w:rPr>
        <w:t xml:space="preserve"> Caskey</w:t>
      </w:r>
      <w:r w:rsidRPr="0007237D">
        <w:rPr>
          <w:rFonts w:ascii="Times New Roman" w:hAnsi="Times New Roman" w:cs="Times New Roman"/>
          <w:sz w:val="24"/>
          <w:szCs w:val="24"/>
          <w:lang w:val="en"/>
        </w:rPr>
        <w:t xml:space="preserve"> </w:t>
      </w:r>
      <w:r w:rsidRPr="0007237D">
        <w:rPr>
          <w:rFonts w:ascii="Times New Roman" w:hAnsi="Times New Roman" w:cs="Times New Roman"/>
          <w:sz w:val="24"/>
          <w:szCs w:val="24"/>
          <w:lang w:val="en"/>
        </w:rPr>
        <w:t xml:space="preserve">1994 </w:t>
      </w:r>
      <w:r w:rsidRPr="0007237D">
        <w:rPr>
          <w:rFonts w:ascii="Times New Roman" w:eastAsia="Times New Roman" w:hAnsi="Times New Roman" w:cs="Times New Roman"/>
          <w:sz w:val="24"/>
          <w:szCs w:val="24"/>
        </w:rPr>
        <w:t>shows that access to banking systems is a step to creating wealth. Financial institutions provide a platform for people to save for emergencies and security. Also, the participants benefit from credit facilities on affordable terms. </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The unbanked nevertheless end finding other ways to conduct their basic financial transactions and meet their financial needs by getting to check-cashing business and pay the bill in cash</w:t>
      </w:r>
      <w:r>
        <w:rPr>
          <w:rFonts w:ascii="Times New Roman" w:eastAsia="Times New Roman" w:hAnsi="Times New Roman" w:cs="Times New Roman"/>
          <w:sz w:val="24"/>
          <w:szCs w:val="24"/>
        </w:rPr>
        <w:t xml:space="preserve"> </w:t>
      </w:r>
      <w:r>
        <w:rPr>
          <w:rFonts w:ascii="Times New Roman" w:hAnsi="Times New Roman" w:cs="Times New Roman"/>
          <w:sz w:val="24"/>
          <w:szCs w:val="24"/>
          <w:lang w:val="en"/>
        </w:rPr>
        <w:t xml:space="preserve">Bos, </w:t>
      </w:r>
      <w:r>
        <w:rPr>
          <w:rFonts w:ascii="Times New Roman" w:hAnsi="Times New Roman" w:cs="Times New Roman"/>
          <w:sz w:val="24"/>
          <w:szCs w:val="24"/>
          <w:lang w:val="en"/>
        </w:rPr>
        <w:t xml:space="preserve">Carter, &amp; Skiba, </w:t>
      </w:r>
      <w:r>
        <w:rPr>
          <w:rFonts w:ascii="Times New Roman" w:hAnsi="Times New Roman" w:cs="Times New Roman"/>
          <w:sz w:val="24"/>
          <w:szCs w:val="24"/>
          <w:lang w:val="en"/>
        </w:rPr>
        <w:t>2012</w:t>
      </w:r>
      <w:r>
        <w:rPr>
          <w:rFonts w:ascii="Times New Roman" w:hAnsi="Times New Roman" w:cs="Times New Roman"/>
          <w:sz w:val="24"/>
          <w:szCs w:val="24"/>
          <w:lang w:val="en"/>
        </w:rPr>
        <w:t>)</w:t>
      </w:r>
      <w:r w:rsidRPr="0007237D">
        <w:rPr>
          <w:rFonts w:ascii="Times New Roman" w:eastAsia="Times New Roman" w:hAnsi="Times New Roman" w:cs="Times New Roman"/>
          <w:sz w:val="24"/>
          <w:szCs w:val="24"/>
        </w:rPr>
        <w:t>. In their saving habits, they do it the informal way which has got increased risk of appropriation, no inflation protection and gets no return of their savings. </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Immigrants who are mostly Latinos are the fastest-growing foreign group and most of them have got low education in comparison to people from Asia and Europe. Additionally, they are mostly amongst the group of undocumented immigrants hence, are less likely to engage in informalities such as banking sectors</w:t>
      </w:r>
      <w:r w:rsidRPr="0007237D">
        <w:rPr>
          <w:rFonts w:ascii="Times New Roman" w:hAnsi="Times New Roman" w:cs="Times New Roman"/>
          <w:sz w:val="24"/>
          <w:szCs w:val="24"/>
          <w:lang w:val="en"/>
        </w:rPr>
        <w:t xml:space="preserve"> (Shackman &amp; Tenney, </w:t>
      </w:r>
      <w:r w:rsidRPr="0007237D">
        <w:rPr>
          <w:rFonts w:ascii="Times New Roman" w:hAnsi="Times New Roman" w:cs="Times New Roman"/>
          <w:sz w:val="24"/>
          <w:szCs w:val="24"/>
          <w:lang w:val="en"/>
        </w:rPr>
        <w:t>2006)</w:t>
      </w:r>
      <w:r w:rsidRPr="0007237D">
        <w:rPr>
          <w:rFonts w:ascii="Times New Roman" w:eastAsia="Times New Roman" w:hAnsi="Times New Roman" w:cs="Times New Roman"/>
          <w:sz w:val="24"/>
          <w:szCs w:val="24"/>
        </w:rPr>
        <w:t>. </w:t>
      </w:r>
    </w:p>
    <w:p w:rsid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Furthermore, there are costs involved in owning an account such as time of usage and cost of managing an account. The low-income earners hold a greater risk of attracting charges involved in having a low balance, maintenance fee, and overdrafts. They are more likely to spend a huge proportion of their income on the transaction fee as they will keep sending and receiving money and hence increasing their economic distress</w:t>
      </w:r>
      <w:r w:rsidRPr="0007237D">
        <w:rPr>
          <w:rFonts w:ascii="Times New Roman" w:hAnsi="Times New Roman" w:cs="Times New Roman"/>
          <w:sz w:val="24"/>
          <w:szCs w:val="24"/>
        </w:rPr>
        <w:t xml:space="preserve"> (</w:t>
      </w:r>
      <w:r w:rsidRPr="0007237D">
        <w:rPr>
          <w:rFonts w:ascii="Times New Roman" w:hAnsi="Times New Roman" w:cs="Times New Roman"/>
          <w:sz w:val="24"/>
          <w:szCs w:val="24"/>
        </w:rPr>
        <w:t>K</w:t>
      </w:r>
      <w:r w:rsidRPr="0007237D">
        <w:rPr>
          <w:rFonts w:ascii="Times New Roman" w:hAnsi="Times New Roman" w:cs="Times New Roman"/>
          <w:sz w:val="24"/>
          <w:szCs w:val="24"/>
        </w:rPr>
        <w:t xml:space="preserve">lawitter  &amp; Fletschner, </w:t>
      </w:r>
      <w:r w:rsidRPr="0007237D">
        <w:rPr>
          <w:rFonts w:ascii="Times New Roman" w:hAnsi="Times New Roman" w:cs="Times New Roman"/>
          <w:sz w:val="24"/>
          <w:szCs w:val="24"/>
        </w:rPr>
        <w:t>2006)</w:t>
      </w:r>
      <w:r w:rsidRPr="0007237D">
        <w:rPr>
          <w:rFonts w:ascii="Times New Roman" w:eastAsia="Times New Roman" w:hAnsi="Times New Roman" w:cs="Times New Roman"/>
          <w:sz w:val="24"/>
          <w:szCs w:val="24"/>
        </w:rPr>
        <w:t>.</w:t>
      </w:r>
    </w:p>
    <w:p w:rsidR="0007237D" w:rsidRDefault="0007237D" w:rsidP="0007237D">
      <w:pPr>
        <w:spacing w:after="0"/>
        <w:ind w:firstLine="720"/>
        <w:jc w:val="both"/>
        <w:rPr>
          <w:rFonts w:ascii="Times New Roman" w:eastAsia="Times New Roman" w:hAnsi="Times New Roman" w:cs="Times New Roman"/>
          <w:sz w:val="24"/>
          <w:szCs w:val="24"/>
        </w:rPr>
      </w:pPr>
    </w:p>
    <w:p w:rsidR="0007237D" w:rsidRDefault="0007237D" w:rsidP="0007237D">
      <w:pPr>
        <w:spacing w:after="0"/>
        <w:ind w:firstLine="720"/>
        <w:jc w:val="both"/>
        <w:rPr>
          <w:rFonts w:ascii="Times New Roman" w:eastAsia="Times New Roman" w:hAnsi="Times New Roman" w:cs="Times New Roman"/>
          <w:sz w:val="24"/>
          <w:szCs w:val="24"/>
        </w:rPr>
      </w:pPr>
    </w:p>
    <w:p w:rsidR="0007237D" w:rsidRDefault="0007237D" w:rsidP="0007237D">
      <w:pPr>
        <w:spacing w:after="0"/>
        <w:ind w:firstLine="720"/>
        <w:jc w:val="both"/>
        <w:rPr>
          <w:rFonts w:ascii="Times New Roman" w:eastAsia="Times New Roman" w:hAnsi="Times New Roman" w:cs="Times New Roman"/>
          <w:sz w:val="24"/>
          <w:szCs w:val="24"/>
        </w:rPr>
      </w:pPr>
    </w:p>
    <w:p w:rsidR="0007237D" w:rsidRDefault="0007237D" w:rsidP="0007237D">
      <w:pPr>
        <w:spacing w:after="0"/>
        <w:ind w:firstLine="720"/>
        <w:jc w:val="both"/>
        <w:rPr>
          <w:rFonts w:ascii="Times New Roman" w:eastAsia="Times New Roman" w:hAnsi="Times New Roman" w:cs="Times New Roman"/>
          <w:sz w:val="24"/>
          <w:szCs w:val="24"/>
        </w:rPr>
      </w:pPr>
    </w:p>
    <w:p w:rsidR="0007237D" w:rsidRDefault="0007237D" w:rsidP="0007237D">
      <w:pPr>
        <w:spacing w:after="0"/>
        <w:ind w:firstLine="720"/>
        <w:jc w:val="both"/>
        <w:rPr>
          <w:rFonts w:ascii="Times New Roman" w:eastAsia="Times New Roman" w:hAnsi="Times New Roman" w:cs="Times New Roman"/>
          <w:sz w:val="24"/>
          <w:szCs w:val="24"/>
        </w:rPr>
      </w:pPr>
    </w:p>
    <w:p w:rsidR="0007237D" w:rsidRPr="0007237D" w:rsidRDefault="0007237D" w:rsidP="0007237D">
      <w:pPr>
        <w:spacing w:after="0"/>
        <w:ind w:firstLine="720"/>
        <w:jc w:val="both"/>
        <w:rPr>
          <w:rFonts w:ascii="Times New Roman" w:eastAsia="Times New Roman" w:hAnsi="Times New Roman" w:cs="Times New Roman"/>
          <w:sz w:val="24"/>
          <w:szCs w:val="24"/>
        </w:rPr>
      </w:pPr>
    </w:p>
    <w:p w:rsidR="0007237D" w:rsidRPr="0007237D" w:rsidRDefault="0007237D" w:rsidP="0007237D">
      <w:pPr>
        <w:spacing w:after="0"/>
        <w:jc w:val="center"/>
        <w:rPr>
          <w:rFonts w:ascii="Times New Roman" w:eastAsia="Times New Roman" w:hAnsi="Times New Roman" w:cs="Times New Roman"/>
          <w:sz w:val="24"/>
          <w:szCs w:val="24"/>
        </w:rPr>
      </w:pPr>
      <w:r w:rsidRPr="0007237D">
        <w:rPr>
          <w:rFonts w:ascii="Times New Roman" w:eastAsia="Times New Roman" w:hAnsi="Times New Roman" w:cs="Times New Roman"/>
          <w:b/>
          <w:bCs/>
          <w:sz w:val="24"/>
          <w:szCs w:val="24"/>
        </w:rPr>
        <w:lastRenderedPageBreak/>
        <w:t>Methodology</w:t>
      </w:r>
      <w:r>
        <w:rPr>
          <w:rFonts w:ascii="Times New Roman" w:eastAsia="Times New Roman" w:hAnsi="Times New Roman" w:cs="Times New Roman"/>
          <w:b/>
          <w:bCs/>
          <w:sz w:val="24"/>
          <w:szCs w:val="24"/>
        </w:rPr>
        <w:t xml:space="preserve"> of the study</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The study has analyzed data from the Pew Health Group from their report on Unbaked by Choice: A look at how the low-income Los Angeles households manage the money, report, or July 2010. On the study design, the group focused on eight low-income residents in the neighborhood of Los Angeles which contained a combination of banked and unbanked customers. The neighborhood selected happens to be ethically and geographically diverse and hence, a good representation of the economy of the city. Some neighborhoods have a history of immigrant enclaves, others are stable, and other experience gentrification pressures. </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In these areas selected, the intention was to try and cover up a good sample of the American population with low income, while collecting data, a door-to-door survey was conducted. The unbanked residents were represented by 1000 households while the banked residents were represented by 1000 households who had one or more bank accounts. The methodology chose the door to door visit to reach out to households who could have been out of reach if the survey was collected via telephone or online</w:t>
      </w:r>
      <w:r>
        <w:rPr>
          <w:rFonts w:ascii="Times New Roman" w:eastAsia="Times New Roman" w:hAnsi="Times New Roman" w:cs="Times New Roman"/>
          <w:sz w:val="24"/>
          <w:szCs w:val="24"/>
        </w:rPr>
        <w:t xml:space="preserve"> (</w:t>
      </w:r>
      <w:r>
        <w:rPr>
          <w:rFonts w:ascii="Times New Roman" w:hAnsi="Times New Roman" w:cs="Times New Roman"/>
          <w:sz w:val="24"/>
          <w:szCs w:val="24"/>
          <w:lang w:val="en"/>
        </w:rPr>
        <w:t>Pew Health Group, 2010</w:t>
      </w:r>
      <w:r>
        <w:rPr>
          <w:rFonts w:ascii="Times New Roman" w:hAnsi="Times New Roman" w:cs="Times New Roman"/>
          <w:sz w:val="24"/>
          <w:szCs w:val="24"/>
          <w:lang w:val="en"/>
        </w:rPr>
        <w:t>)</w:t>
      </w:r>
      <w:r w:rsidRPr="0007237D">
        <w:rPr>
          <w:rFonts w:ascii="Times New Roman" w:eastAsia="Times New Roman" w:hAnsi="Times New Roman" w:cs="Times New Roman"/>
          <w:sz w:val="24"/>
          <w:szCs w:val="24"/>
        </w:rPr>
        <w:t>.</w:t>
      </w:r>
    </w:p>
    <w:p w:rsidR="0007237D" w:rsidRPr="0007237D" w:rsidRDefault="0007237D" w:rsidP="0007237D">
      <w:pPr>
        <w:spacing w:after="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 </w:t>
      </w:r>
      <w:r>
        <w:rPr>
          <w:rFonts w:ascii="Times New Roman" w:eastAsia="Times New Roman" w:hAnsi="Times New Roman" w:cs="Times New Roman"/>
          <w:sz w:val="24"/>
          <w:szCs w:val="24"/>
        </w:rPr>
        <w:tab/>
      </w:r>
      <w:r w:rsidRPr="0007237D">
        <w:rPr>
          <w:rFonts w:ascii="Times New Roman" w:eastAsia="Times New Roman" w:hAnsi="Times New Roman" w:cs="Times New Roman"/>
          <w:sz w:val="24"/>
          <w:szCs w:val="24"/>
        </w:rPr>
        <w:t>The first wave was conducted in 2009 July to fill in the 2019 data while the second wave was conducted in 2010 May to represent the 2010 data. The study focused on the economic status of these households, financial behavior, and their perception of financial services. </w:t>
      </w:r>
    </w:p>
    <w:p w:rsidR="0007237D" w:rsidRDefault="0007237D" w:rsidP="0007237D">
      <w:pPr>
        <w:spacing w:after="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According to a report done by the Federal Deposit Insurance Corporation (FDIC) in June 2011, a survey that involved an interview of about 54,000 interviewers where the survey was conducted by the Bureau of Labor Statistics (BLS). The survey was collected in the US to a labor force of several characteristics such as unemployment, employment, and people’s earnings.</w:t>
      </w: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lastRenderedPageBreak/>
        <w:t> The interviewers were diverse with different races, age, educational attainment, and marital status. The survey was also collected in 2 different phases; the first wave was conducted in January 2009 while the other had taken place in June 2011</w:t>
      </w:r>
      <w:r w:rsidRPr="0007237D">
        <w:rPr>
          <w:rFonts w:ascii="Times New Roman" w:hAnsi="Times New Roman" w:cs="Times New Roman"/>
          <w:sz w:val="24"/>
          <w:szCs w:val="24"/>
          <w:lang w:val="en"/>
        </w:rPr>
        <w:t xml:space="preserve"> </w:t>
      </w:r>
      <w:r>
        <w:rPr>
          <w:rFonts w:ascii="Times New Roman" w:hAnsi="Times New Roman" w:cs="Times New Roman"/>
          <w:sz w:val="24"/>
          <w:szCs w:val="24"/>
          <w:lang w:val="en"/>
        </w:rPr>
        <w:t xml:space="preserve">(Burhouse &amp; Osaki, </w:t>
      </w:r>
      <w:r>
        <w:rPr>
          <w:rFonts w:ascii="Times New Roman" w:hAnsi="Times New Roman" w:cs="Times New Roman"/>
          <w:sz w:val="24"/>
          <w:szCs w:val="24"/>
          <w:lang w:val="en"/>
        </w:rPr>
        <w:t>2012</w:t>
      </w:r>
      <w:r>
        <w:rPr>
          <w:rFonts w:ascii="Times New Roman" w:hAnsi="Times New Roman" w:cs="Times New Roman"/>
          <w:sz w:val="24"/>
          <w:szCs w:val="24"/>
          <w:lang w:val="en"/>
        </w:rPr>
        <w:t>)</w:t>
      </w:r>
      <w:r w:rsidRPr="0007237D">
        <w:rPr>
          <w:rFonts w:ascii="Times New Roman" w:eastAsia="Times New Roman" w:hAnsi="Times New Roman" w:cs="Times New Roman"/>
          <w:sz w:val="24"/>
          <w:szCs w:val="24"/>
        </w:rPr>
        <w:t xml:space="preserve">. The primary objective was to understand the estimate of US residents who were unbanked and who were banked and the reasons why. </w:t>
      </w:r>
    </w:p>
    <w:p w:rsidR="0007237D" w:rsidRPr="0007237D" w:rsidRDefault="0007237D" w:rsidP="0007237D">
      <w:pPr>
        <w:spacing w:after="0"/>
        <w:jc w:val="both"/>
        <w:rPr>
          <w:rFonts w:ascii="Times New Roman" w:eastAsia="Times New Roman" w:hAnsi="Times New Roman" w:cs="Times New Roman"/>
          <w:sz w:val="24"/>
          <w:szCs w:val="24"/>
        </w:rPr>
      </w:pPr>
    </w:p>
    <w:p w:rsidR="00FB41F0" w:rsidRPr="0007237D" w:rsidRDefault="00FB41F0" w:rsidP="0007237D">
      <w:pPr>
        <w:jc w:val="center"/>
        <w:rPr>
          <w:rFonts w:ascii="Times New Roman" w:hAnsi="Times New Roman" w:cs="Times New Roman"/>
          <w:b/>
          <w:sz w:val="24"/>
          <w:szCs w:val="24"/>
        </w:rPr>
      </w:pPr>
      <w:r w:rsidRPr="0007237D">
        <w:rPr>
          <w:rFonts w:ascii="Times New Roman" w:hAnsi="Times New Roman" w:cs="Times New Roman"/>
          <w:b/>
          <w:sz w:val="24"/>
          <w:szCs w:val="24"/>
        </w:rPr>
        <w:t>Data Analysis and Results</w:t>
      </w:r>
    </w:p>
    <w:p w:rsidR="00C70ECB"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t xml:space="preserve">Fig 1: </w:t>
      </w:r>
      <w:r w:rsidR="00C70ECB" w:rsidRPr="0007237D">
        <w:rPr>
          <w:rFonts w:ascii="Times New Roman" w:hAnsi="Times New Roman" w:cs="Times New Roman"/>
          <w:b/>
          <w:sz w:val="24"/>
          <w:szCs w:val="24"/>
        </w:rPr>
        <w:t>Financial behaviors from household income</w:t>
      </w:r>
      <w:r w:rsidRPr="0007237D">
        <w:rPr>
          <w:rFonts w:ascii="Times New Roman" w:hAnsi="Times New Roman" w:cs="Times New Roman"/>
          <w:b/>
          <w:sz w:val="24"/>
          <w:szCs w:val="24"/>
        </w:rPr>
        <w:t xml:space="preserve"> in form check</w:t>
      </w:r>
    </w:p>
    <w:tbl>
      <w:tblPr>
        <w:tblStyle w:val="LightList-Accent5"/>
        <w:tblW w:w="89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1"/>
        <w:gridCol w:w="1817"/>
        <w:gridCol w:w="1529"/>
      </w:tblGrid>
      <w:tr w:rsidR="0007237D" w:rsidRPr="0007237D" w:rsidTr="0007237D">
        <w:trPr>
          <w:cnfStyle w:val="100000000000" w:firstRow="1" w:lastRow="0" w:firstColumn="0" w:lastColumn="0" w:oddVBand="0" w:evenVBand="0" w:oddHBand="0"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5581" w:type="dxa"/>
            <w:hideMark/>
          </w:tcPr>
          <w:p w:rsidR="0007237D" w:rsidRPr="0007237D" w:rsidRDefault="0007237D" w:rsidP="0007237D">
            <w:pPr>
              <w:spacing w:line="480" w:lineRule="auto"/>
              <w:jc w:val="both"/>
              <w:rPr>
                <w:rFonts w:ascii="Times New Roman" w:eastAsia="Times New Roman" w:hAnsi="Times New Roman" w:cs="Times New Roman"/>
                <w:color w:val="auto"/>
                <w:sz w:val="24"/>
                <w:szCs w:val="24"/>
              </w:rPr>
            </w:pPr>
            <w:r w:rsidRPr="0007237D">
              <w:rPr>
                <w:rFonts w:ascii="Times New Roman" w:eastAsia="Times New Roman" w:hAnsi="Times New Roman" w:cs="Times New Roman"/>
                <w:color w:val="auto"/>
                <w:sz w:val="24"/>
                <w:szCs w:val="24"/>
              </w:rPr>
              <w:t>Financial behaviors</w:t>
            </w:r>
          </w:p>
        </w:tc>
        <w:tc>
          <w:tcPr>
            <w:tcW w:w="1817" w:type="dxa"/>
            <w:hideMark/>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7237D">
              <w:rPr>
                <w:rFonts w:ascii="Times New Roman" w:eastAsia="Times New Roman" w:hAnsi="Times New Roman" w:cs="Times New Roman"/>
                <w:color w:val="auto"/>
                <w:sz w:val="24"/>
                <w:szCs w:val="24"/>
              </w:rPr>
              <w:t>Banked</w:t>
            </w:r>
          </w:p>
        </w:tc>
        <w:tc>
          <w:tcPr>
            <w:tcW w:w="1529" w:type="dxa"/>
            <w:hideMark/>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7237D">
              <w:rPr>
                <w:rFonts w:ascii="Times New Roman" w:eastAsia="Times New Roman" w:hAnsi="Times New Roman" w:cs="Times New Roman"/>
                <w:color w:val="auto"/>
                <w:sz w:val="24"/>
                <w:szCs w:val="24"/>
              </w:rPr>
              <w:t>Unbanked</w:t>
            </w:r>
          </w:p>
        </w:tc>
      </w:tr>
      <w:tr w:rsidR="0007237D" w:rsidRPr="0007237D" w:rsidTr="0007237D">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5581" w:type="dxa"/>
            <w:tcBorders>
              <w:top w:val="none" w:sz="0" w:space="0" w:color="auto"/>
              <w:left w:val="none" w:sz="0" w:space="0" w:color="auto"/>
              <w:bottom w:val="none" w:sz="0" w:space="0" w:color="auto"/>
            </w:tcBorders>
            <w:hideMark/>
          </w:tcPr>
          <w:p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Deposit all in bank and spend it from there</w:t>
            </w:r>
          </w:p>
        </w:tc>
        <w:tc>
          <w:tcPr>
            <w:tcW w:w="1817" w:type="dxa"/>
            <w:tcBorders>
              <w:top w:val="none" w:sz="0" w:space="0" w:color="auto"/>
              <w:bottom w:val="none" w:sz="0" w:space="0" w:color="auto"/>
            </w:tcBorders>
            <w:hideMark/>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73%</w:t>
            </w:r>
          </w:p>
        </w:tc>
        <w:tc>
          <w:tcPr>
            <w:tcW w:w="1529" w:type="dxa"/>
            <w:tcBorders>
              <w:top w:val="none" w:sz="0" w:space="0" w:color="auto"/>
              <w:bottom w:val="none" w:sz="0" w:space="0" w:color="auto"/>
              <w:right w:val="none" w:sz="0" w:space="0" w:color="auto"/>
            </w:tcBorders>
            <w:hideMark/>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3%</w:t>
            </w:r>
          </w:p>
        </w:tc>
      </w:tr>
      <w:tr w:rsidR="0007237D" w:rsidRPr="0007237D" w:rsidTr="0007237D">
        <w:trPr>
          <w:trHeight w:val="468"/>
        </w:trPr>
        <w:tc>
          <w:tcPr>
            <w:cnfStyle w:val="001000000000" w:firstRow="0" w:lastRow="0" w:firstColumn="1" w:lastColumn="0" w:oddVBand="0" w:evenVBand="0" w:oddHBand="0" w:evenHBand="0" w:firstRowFirstColumn="0" w:firstRowLastColumn="0" w:lastRowFirstColumn="0" w:lastRowLastColumn="0"/>
            <w:tcW w:w="5581" w:type="dxa"/>
            <w:hideMark/>
          </w:tcPr>
          <w:p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Cash the check at bank and spend</w:t>
            </w:r>
          </w:p>
        </w:tc>
        <w:tc>
          <w:tcPr>
            <w:tcW w:w="1817" w:type="dxa"/>
            <w:hideMark/>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18%</w:t>
            </w:r>
          </w:p>
        </w:tc>
        <w:tc>
          <w:tcPr>
            <w:tcW w:w="1529" w:type="dxa"/>
            <w:hideMark/>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16%</w:t>
            </w:r>
          </w:p>
        </w:tc>
      </w:tr>
      <w:tr w:rsidR="0007237D" w:rsidRPr="0007237D" w:rsidTr="0007237D">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5581" w:type="dxa"/>
            <w:tcBorders>
              <w:top w:val="none" w:sz="0" w:space="0" w:color="auto"/>
              <w:left w:val="none" w:sz="0" w:space="0" w:color="auto"/>
              <w:bottom w:val="none" w:sz="0" w:space="0" w:color="auto"/>
            </w:tcBorders>
            <w:hideMark/>
          </w:tcPr>
          <w:p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Cash check at cash casher and spend</w:t>
            </w:r>
          </w:p>
        </w:tc>
        <w:tc>
          <w:tcPr>
            <w:tcW w:w="1817" w:type="dxa"/>
            <w:tcBorders>
              <w:top w:val="none" w:sz="0" w:space="0" w:color="auto"/>
              <w:bottom w:val="none" w:sz="0" w:space="0" w:color="auto"/>
            </w:tcBorders>
            <w:hideMark/>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4%</w:t>
            </w:r>
          </w:p>
        </w:tc>
        <w:tc>
          <w:tcPr>
            <w:tcW w:w="1529" w:type="dxa"/>
            <w:tcBorders>
              <w:top w:val="none" w:sz="0" w:space="0" w:color="auto"/>
              <w:bottom w:val="none" w:sz="0" w:space="0" w:color="auto"/>
              <w:right w:val="none" w:sz="0" w:space="0" w:color="auto"/>
            </w:tcBorders>
            <w:hideMark/>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73%</w:t>
            </w:r>
          </w:p>
        </w:tc>
      </w:tr>
    </w:tbl>
    <w:p w:rsidR="0007237D" w:rsidRPr="0007237D" w:rsidRDefault="0007237D" w:rsidP="0007237D">
      <w:pPr>
        <w:jc w:val="both"/>
        <w:rPr>
          <w:rFonts w:ascii="Times New Roman" w:hAnsi="Times New Roman" w:cs="Times New Roman"/>
          <w:b/>
          <w:sz w:val="24"/>
          <w:szCs w:val="24"/>
        </w:rPr>
      </w:pPr>
    </w:p>
    <w:p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t xml:space="preserve">Fig </w:t>
      </w:r>
      <w:r w:rsidRPr="0007237D">
        <w:rPr>
          <w:rFonts w:ascii="Times New Roman" w:hAnsi="Times New Roman" w:cs="Times New Roman"/>
          <w:b/>
          <w:sz w:val="24"/>
          <w:szCs w:val="24"/>
        </w:rPr>
        <w:t>2</w:t>
      </w:r>
      <w:r w:rsidRPr="0007237D">
        <w:rPr>
          <w:rFonts w:ascii="Times New Roman" w:hAnsi="Times New Roman" w:cs="Times New Roman"/>
          <w:b/>
          <w:sz w:val="24"/>
          <w:szCs w:val="24"/>
        </w:rPr>
        <w:t>: Financial behaviors from household income in form cash</w:t>
      </w:r>
    </w:p>
    <w:tbl>
      <w:tblPr>
        <w:tblStyle w:val="LightList-Accent5"/>
        <w:tblW w:w="8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1620"/>
        <w:gridCol w:w="2064"/>
      </w:tblGrid>
      <w:tr w:rsidR="0007237D" w:rsidRPr="0007237D" w:rsidTr="0007237D">
        <w:trPr>
          <w:cnfStyle w:val="100000000000" w:firstRow="1" w:lastRow="0" w:firstColumn="0" w:lastColumn="0" w:oddVBand="0" w:evenVBand="0" w:oddHBand="0"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4428" w:type="dxa"/>
            <w:hideMark/>
          </w:tcPr>
          <w:p w:rsidR="0007237D" w:rsidRPr="0007237D" w:rsidRDefault="0007237D" w:rsidP="0007237D">
            <w:pPr>
              <w:spacing w:line="480" w:lineRule="auto"/>
              <w:jc w:val="both"/>
              <w:rPr>
                <w:rFonts w:ascii="Times New Roman" w:eastAsia="Times New Roman" w:hAnsi="Times New Roman" w:cs="Times New Roman"/>
                <w:color w:val="auto"/>
                <w:sz w:val="24"/>
                <w:szCs w:val="24"/>
              </w:rPr>
            </w:pPr>
            <w:r w:rsidRPr="0007237D">
              <w:rPr>
                <w:rFonts w:ascii="Times New Roman" w:eastAsia="Times New Roman" w:hAnsi="Times New Roman" w:cs="Times New Roman"/>
                <w:color w:val="auto"/>
                <w:sz w:val="24"/>
                <w:szCs w:val="24"/>
              </w:rPr>
              <w:t>Financial behaviors</w:t>
            </w:r>
          </w:p>
        </w:tc>
        <w:tc>
          <w:tcPr>
            <w:tcW w:w="1620" w:type="dxa"/>
            <w:hideMark/>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7237D">
              <w:rPr>
                <w:rFonts w:ascii="Times New Roman" w:eastAsia="Times New Roman" w:hAnsi="Times New Roman" w:cs="Times New Roman"/>
                <w:color w:val="auto"/>
                <w:sz w:val="24"/>
                <w:szCs w:val="24"/>
              </w:rPr>
              <w:t>Banked</w:t>
            </w:r>
          </w:p>
        </w:tc>
        <w:tc>
          <w:tcPr>
            <w:tcW w:w="2064" w:type="dxa"/>
            <w:hideMark/>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7237D">
              <w:rPr>
                <w:rFonts w:ascii="Times New Roman" w:eastAsia="Times New Roman" w:hAnsi="Times New Roman" w:cs="Times New Roman"/>
                <w:color w:val="auto"/>
                <w:sz w:val="24"/>
                <w:szCs w:val="24"/>
              </w:rPr>
              <w:t>Unbanked</w:t>
            </w:r>
          </w:p>
        </w:tc>
      </w:tr>
      <w:tr w:rsidR="0007237D" w:rsidRPr="0007237D" w:rsidTr="0007237D">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4428" w:type="dxa"/>
            <w:tcBorders>
              <w:top w:val="none" w:sz="0" w:space="0" w:color="auto"/>
              <w:left w:val="none" w:sz="0" w:space="0" w:color="auto"/>
              <w:bottom w:val="none" w:sz="0" w:space="0" w:color="auto"/>
            </w:tcBorders>
            <w:hideMark/>
          </w:tcPr>
          <w:p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Keep it all and spend</w:t>
            </w:r>
          </w:p>
        </w:tc>
        <w:tc>
          <w:tcPr>
            <w:tcW w:w="1620" w:type="dxa"/>
            <w:tcBorders>
              <w:top w:val="none" w:sz="0" w:space="0" w:color="auto"/>
              <w:bottom w:val="none" w:sz="0" w:space="0" w:color="auto"/>
            </w:tcBorders>
            <w:hideMark/>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48%</w:t>
            </w:r>
          </w:p>
        </w:tc>
        <w:tc>
          <w:tcPr>
            <w:tcW w:w="2064" w:type="dxa"/>
            <w:tcBorders>
              <w:top w:val="none" w:sz="0" w:space="0" w:color="auto"/>
              <w:bottom w:val="none" w:sz="0" w:space="0" w:color="auto"/>
              <w:right w:val="none" w:sz="0" w:space="0" w:color="auto"/>
            </w:tcBorders>
            <w:hideMark/>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88%</w:t>
            </w:r>
          </w:p>
        </w:tc>
      </w:tr>
      <w:tr w:rsidR="0007237D" w:rsidRPr="0007237D" w:rsidTr="0007237D">
        <w:trPr>
          <w:trHeight w:val="502"/>
        </w:trPr>
        <w:tc>
          <w:tcPr>
            <w:cnfStyle w:val="001000000000" w:firstRow="0" w:lastRow="0" w:firstColumn="1" w:lastColumn="0" w:oddVBand="0" w:evenVBand="0" w:oddHBand="0" w:evenHBand="0" w:firstRowFirstColumn="0" w:firstRowLastColumn="0" w:lastRowFirstColumn="0" w:lastRowLastColumn="0"/>
            <w:tcW w:w="4428" w:type="dxa"/>
            <w:hideMark/>
          </w:tcPr>
          <w:p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Deposit the cash at bank and spend</w:t>
            </w:r>
          </w:p>
        </w:tc>
        <w:tc>
          <w:tcPr>
            <w:tcW w:w="1620" w:type="dxa"/>
            <w:hideMark/>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27%</w:t>
            </w:r>
          </w:p>
        </w:tc>
        <w:tc>
          <w:tcPr>
            <w:tcW w:w="2064" w:type="dxa"/>
            <w:hideMark/>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1%</w:t>
            </w:r>
          </w:p>
        </w:tc>
      </w:tr>
      <w:tr w:rsidR="0007237D" w:rsidRPr="0007237D" w:rsidTr="0007237D">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4428" w:type="dxa"/>
            <w:tcBorders>
              <w:top w:val="none" w:sz="0" w:space="0" w:color="auto"/>
              <w:left w:val="none" w:sz="0" w:space="0" w:color="auto"/>
              <w:bottom w:val="none" w:sz="0" w:space="0" w:color="auto"/>
            </w:tcBorders>
            <w:hideMark/>
          </w:tcPr>
          <w:p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Keep some and deposit the rest in bank</w:t>
            </w:r>
          </w:p>
        </w:tc>
        <w:tc>
          <w:tcPr>
            <w:tcW w:w="1620" w:type="dxa"/>
            <w:tcBorders>
              <w:top w:val="none" w:sz="0" w:space="0" w:color="auto"/>
              <w:bottom w:val="none" w:sz="0" w:space="0" w:color="auto"/>
            </w:tcBorders>
            <w:hideMark/>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14%</w:t>
            </w:r>
          </w:p>
        </w:tc>
        <w:tc>
          <w:tcPr>
            <w:tcW w:w="2064" w:type="dxa"/>
            <w:tcBorders>
              <w:top w:val="none" w:sz="0" w:space="0" w:color="auto"/>
              <w:bottom w:val="none" w:sz="0" w:space="0" w:color="auto"/>
              <w:right w:val="none" w:sz="0" w:space="0" w:color="auto"/>
            </w:tcBorders>
            <w:hideMark/>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1%</w:t>
            </w:r>
          </w:p>
        </w:tc>
      </w:tr>
    </w:tbl>
    <w:p w:rsidR="0007237D" w:rsidRDefault="0007237D" w:rsidP="0007237D">
      <w:pPr>
        <w:jc w:val="both"/>
        <w:rPr>
          <w:rFonts w:ascii="Times New Roman" w:hAnsi="Times New Roman" w:cs="Times New Roman"/>
          <w:b/>
          <w:sz w:val="24"/>
          <w:szCs w:val="24"/>
        </w:rPr>
      </w:pPr>
    </w:p>
    <w:p w:rsidR="0007237D" w:rsidRDefault="0007237D" w:rsidP="0007237D">
      <w:pPr>
        <w:jc w:val="both"/>
        <w:rPr>
          <w:rFonts w:ascii="Times New Roman" w:hAnsi="Times New Roman" w:cs="Times New Roman"/>
          <w:b/>
          <w:sz w:val="24"/>
          <w:szCs w:val="24"/>
        </w:rPr>
      </w:pPr>
    </w:p>
    <w:p w:rsidR="0007237D" w:rsidRPr="0007237D" w:rsidRDefault="0007237D" w:rsidP="0007237D">
      <w:pPr>
        <w:jc w:val="both"/>
        <w:rPr>
          <w:rFonts w:ascii="Times New Roman" w:hAnsi="Times New Roman" w:cs="Times New Roman"/>
          <w:b/>
          <w:sz w:val="24"/>
          <w:szCs w:val="24"/>
        </w:rPr>
      </w:pPr>
    </w:p>
    <w:p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lastRenderedPageBreak/>
        <w:t xml:space="preserve">Fig </w:t>
      </w:r>
      <w:r w:rsidRPr="0007237D">
        <w:rPr>
          <w:rFonts w:ascii="Times New Roman" w:hAnsi="Times New Roman" w:cs="Times New Roman"/>
          <w:b/>
          <w:sz w:val="24"/>
          <w:szCs w:val="24"/>
        </w:rPr>
        <w:t>3</w:t>
      </w:r>
      <w:r w:rsidRPr="0007237D">
        <w:rPr>
          <w:rFonts w:ascii="Times New Roman" w:hAnsi="Times New Roman" w:cs="Times New Roman"/>
          <w:b/>
          <w:sz w:val="24"/>
          <w:szCs w:val="24"/>
        </w:rPr>
        <w:t>: Account History of the unbanked;</w:t>
      </w:r>
    </w:p>
    <w:tbl>
      <w:tblPr>
        <w:tblStyle w:val="LightList-Accent5"/>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8"/>
        <w:gridCol w:w="4120"/>
      </w:tblGrid>
      <w:tr w:rsidR="0007237D" w:rsidRPr="0007237D" w:rsidTr="0007237D">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5148" w:type="dxa"/>
            <w:hideMark/>
          </w:tcPr>
          <w:p w:rsidR="0007237D" w:rsidRPr="0007237D" w:rsidRDefault="0007237D" w:rsidP="0007237D">
            <w:pPr>
              <w:spacing w:line="480" w:lineRule="auto"/>
              <w:jc w:val="both"/>
              <w:rPr>
                <w:rFonts w:ascii="Times New Roman" w:eastAsia="Times New Roman" w:hAnsi="Times New Roman" w:cs="Times New Roman"/>
                <w:color w:val="auto"/>
                <w:sz w:val="24"/>
                <w:szCs w:val="24"/>
              </w:rPr>
            </w:pPr>
            <w:r w:rsidRPr="0007237D">
              <w:rPr>
                <w:rFonts w:ascii="Times New Roman" w:eastAsia="Times New Roman" w:hAnsi="Times New Roman" w:cs="Times New Roman"/>
                <w:color w:val="auto"/>
                <w:sz w:val="24"/>
                <w:szCs w:val="24"/>
              </w:rPr>
              <w:t>Account history</w:t>
            </w:r>
          </w:p>
        </w:tc>
        <w:tc>
          <w:tcPr>
            <w:tcW w:w="4120" w:type="dxa"/>
            <w:hideMark/>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7237D">
              <w:rPr>
                <w:rFonts w:ascii="Times New Roman" w:eastAsia="Times New Roman" w:hAnsi="Times New Roman" w:cs="Times New Roman"/>
                <w:color w:val="auto"/>
                <w:sz w:val="24"/>
                <w:szCs w:val="24"/>
              </w:rPr>
              <w:t>% of unbanked Residents</w:t>
            </w:r>
          </w:p>
        </w:tc>
      </w:tr>
      <w:tr w:rsidR="0007237D" w:rsidRPr="0007237D" w:rsidTr="0007237D">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5148" w:type="dxa"/>
            <w:tcBorders>
              <w:top w:val="none" w:sz="0" w:space="0" w:color="auto"/>
              <w:left w:val="none" w:sz="0" w:space="0" w:color="auto"/>
              <w:bottom w:val="none" w:sz="0" w:space="0" w:color="auto"/>
            </w:tcBorders>
            <w:hideMark/>
          </w:tcPr>
          <w:p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Never had an account anywhere</w:t>
            </w:r>
          </w:p>
        </w:tc>
        <w:tc>
          <w:tcPr>
            <w:tcW w:w="4120" w:type="dxa"/>
            <w:tcBorders>
              <w:top w:val="none" w:sz="0" w:space="0" w:color="auto"/>
              <w:bottom w:val="none" w:sz="0" w:space="0" w:color="auto"/>
              <w:right w:val="none" w:sz="0" w:space="0" w:color="auto"/>
            </w:tcBorders>
            <w:hideMark/>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63%</w:t>
            </w:r>
          </w:p>
        </w:tc>
      </w:tr>
      <w:tr w:rsidR="0007237D" w:rsidRPr="0007237D" w:rsidTr="0007237D">
        <w:trPr>
          <w:trHeight w:val="426"/>
        </w:trPr>
        <w:tc>
          <w:tcPr>
            <w:cnfStyle w:val="001000000000" w:firstRow="0" w:lastRow="0" w:firstColumn="1" w:lastColumn="0" w:oddVBand="0" w:evenVBand="0" w:oddHBand="0" w:evenHBand="0" w:firstRowFirstColumn="0" w:firstRowLastColumn="0" w:lastRowFirstColumn="0" w:lastRowLastColumn="0"/>
            <w:tcW w:w="5148" w:type="dxa"/>
            <w:hideMark/>
          </w:tcPr>
          <w:p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 xml:space="preserve">Had an account but no longer uses </w:t>
            </w:r>
          </w:p>
        </w:tc>
        <w:tc>
          <w:tcPr>
            <w:tcW w:w="4120" w:type="dxa"/>
            <w:hideMark/>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22%</w:t>
            </w:r>
          </w:p>
        </w:tc>
      </w:tr>
      <w:tr w:rsidR="0007237D" w:rsidRPr="0007237D" w:rsidTr="0007237D">
        <w:trPr>
          <w:cnfStyle w:val="000000100000" w:firstRow="0" w:lastRow="0" w:firstColumn="0" w:lastColumn="0" w:oddVBand="0" w:evenVBand="0" w:oddHBand="1" w:evenHBand="0" w:firstRowFirstColumn="0" w:firstRowLastColumn="0" w:lastRowFirstColumn="0" w:lastRowLastColumn="0"/>
          <w:trHeight w:val="595"/>
        </w:trPr>
        <w:tc>
          <w:tcPr>
            <w:cnfStyle w:val="001000000000" w:firstRow="0" w:lastRow="0" w:firstColumn="1" w:lastColumn="0" w:oddVBand="0" w:evenVBand="0" w:oddHBand="0" w:evenHBand="0" w:firstRowFirstColumn="0" w:firstRowLastColumn="0" w:lastRowFirstColumn="0" w:lastRowLastColumn="0"/>
            <w:tcW w:w="5148" w:type="dxa"/>
            <w:tcBorders>
              <w:top w:val="none" w:sz="0" w:space="0" w:color="auto"/>
              <w:left w:val="none" w:sz="0" w:space="0" w:color="auto"/>
              <w:bottom w:val="none" w:sz="0" w:space="0" w:color="auto"/>
            </w:tcBorders>
            <w:hideMark/>
          </w:tcPr>
          <w:p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Ever opened an account but will never again</w:t>
            </w:r>
          </w:p>
        </w:tc>
        <w:tc>
          <w:tcPr>
            <w:tcW w:w="4120" w:type="dxa"/>
            <w:tcBorders>
              <w:top w:val="none" w:sz="0" w:space="0" w:color="auto"/>
              <w:bottom w:val="none" w:sz="0" w:space="0" w:color="auto"/>
              <w:right w:val="none" w:sz="0" w:space="0" w:color="auto"/>
            </w:tcBorders>
            <w:hideMark/>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9%</w:t>
            </w:r>
          </w:p>
        </w:tc>
      </w:tr>
      <w:tr w:rsidR="0007237D" w:rsidRPr="0007237D" w:rsidTr="0007237D">
        <w:trPr>
          <w:trHeight w:val="511"/>
        </w:trPr>
        <w:tc>
          <w:tcPr>
            <w:cnfStyle w:val="001000000000" w:firstRow="0" w:lastRow="0" w:firstColumn="1" w:lastColumn="0" w:oddVBand="0" w:evenVBand="0" w:oddHBand="0" w:evenHBand="0" w:firstRowFirstColumn="0" w:firstRowLastColumn="0" w:lastRowFirstColumn="0" w:lastRowLastColumn="0"/>
            <w:tcW w:w="5148" w:type="dxa"/>
            <w:hideMark/>
          </w:tcPr>
          <w:p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Opened an account in a different country</w:t>
            </w:r>
          </w:p>
        </w:tc>
        <w:tc>
          <w:tcPr>
            <w:tcW w:w="4120" w:type="dxa"/>
            <w:hideMark/>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3%</w:t>
            </w:r>
          </w:p>
        </w:tc>
      </w:tr>
      <w:tr w:rsidR="0007237D" w:rsidRPr="0007237D" w:rsidTr="0007237D">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5148" w:type="dxa"/>
            <w:tcBorders>
              <w:top w:val="none" w:sz="0" w:space="0" w:color="auto"/>
              <w:left w:val="none" w:sz="0" w:space="0" w:color="auto"/>
              <w:bottom w:val="none" w:sz="0" w:space="0" w:color="auto"/>
            </w:tcBorders>
            <w:hideMark/>
          </w:tcPr>
          <w:p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 xml:space="preserve">Other </w:t>
            </w:r>
          </w:p>
        </w:tc>
        <w:tc>
          <w:tcPr>
            <w:tcW w:w="4120" w:type="dxa"/>
            <w:tcBorders>
              <w:top w:val="none" w:sz="0" w:space="0" w:color="auto"/>
              <w:bottom w:val="none" w:sz="0" w:space="0" w:color="auto"/>
              <w:right w:val="none" w:sz="0" w:space="0" w:color="auto"/>
            </w:tcBorders>
            <w:hideMark/>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3%</w:t>
            </w:r>
          </w:p>
        </w:tc>
      </w:tr>
    </w:tbl>
    <w:p w:rsidR="0007237D" w:rsidRPr="0007237D" w:rsidRDefault="0007237D" w:rsidP="0007237D">
      <w:pPr>
        <w:jc w:val="both"/>
        <w:rPr>
          <w:rFonts w:ascii="Times New Roman" w:hAnsi="Times New Roman" w:cs="Times New Roman"/>
          <w:sz w:val="24"/>
          <w:szCs w:val="24"/>
        </w:rPr>
      </w:pPr>
    </w:p>
    <w:p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t xml:space="preserve">Fig </w:t>
      </w:r>
      <w:r w:rsidRPr="0007237D">
        <w:rPr>
          <w:rFonts w:ascii="Times New Roman" w:hAnsi="Times New Roman" w:cs="Times New Roman"/>
          <w:b/>
          <w:sz w:val="24"/>
          <w:szCs w:val="24"/>
        </w:rPr>
        <w:t>4</w:t>
      </w:r>
      <w:r w:rsidRPr="0007237D">
        <w:rPr>
          <w:rFonts w:ascii="Times New Roman" w:hAnsi="Times New Roman" w:cs="Times New Roman"/>
          <w:b/>
          <w:sz w:val="24"/>
          <w:szCs w:val="24"/>
        </w:rPr>
        <w:t>: Perceptions of personal finance</w:t>
      </w:r>
    </w:p>
    <w:tbl>
      <w:tblPr>
        <w:tblStyle w:val="LightList-Accent5"/>
        <w:tblW w:w="9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5"/>
        <w:gridCol w:w="2340"/>
        <w:gridCol w:w="2162"/>
      </w:tblGrid>
      <w:tr w:rsidR="0007237D" w:rsidRPr="0007237D" w:rsidTr="0007237D">
        <w:trPr>
          <w:cnfStyle w:val="100000000000" w:firstRow="1" w:lastRow="0" w:firstColumn="0" w:lastColumn="0" w:oddVBand="0" w:evenVBand="0" w:oddHBand="0"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4695" w:type="dxa"/>
            <w:hideMark/>
          </w:tcPr>
          <w:p w:rsidR="0007237D" w:rsidRPr="0007237D" w:rsidRDefault="0007237D" w:rsidP="0007237D">
            <w:pPr>
              <w:spacing w:line="480" w:lineRule="auto"/>
              <w:jc w:val="both"/>
              <w:rPr>
                <w:rFonts w:ascii="Times New Roman" w:eastAsia="Times New Roman" w:hAnsi="Times New Roman" w:cs="Times New Roman"/>
                <w:color w:val="auto"/>
                <w:sz w:val="24"/>
                <w:szCs w:val="24"/>
              </w:rPr>
            </w:pPr>
            <w:r w:rsidRPr="0007237D">
              <w:rPr>
                <w:rFonts w:ascii="Times New Roman" w:eastAsia="Times New Roman" w:hAnsi="Times New Roman" w:cs="Times New Roman"/>
                <w:color w:val="auto"/>
                <w:sz w:val="24"/>
                <w:szCs w:val="24"/>
              </w:rPr>
              <w:t>Perceptions of personal finance</w:t>
            </w:r>
          </w:p>
        </w:tc>
        <w:tc>
          <w:tcPr>
            <w:tcW w:w="2340" w:type="dxa"/>
            <w:hideMark/>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7237D">
              <w:rPr>
                <w:rFonts w:ascii="Times New Roman" w:eastAsia="Times New Roman" w:hAnsi="Times New Roman" w:cs="Times New Roman"/>
                <w:color w:val="auto"/>
                <w:sz w:val="24"/>
                <w:szCs w:val="24"/>
              </w:rPr>
              <w:t xml:space="preserve">Banked </w:t>
            </w:r>
          </w:p>
        </w:tc>
        <w:tc>
          <w:tcPr>
            <w:tcW w:w="2162" w:type="dxa"/>
            <w:hideMark/>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7237D">
              <w:rPr>
                <w:rFonts w:ascii="Times New Roman" w:eastAsia="Times New Roman" w:hAnsi="Times New Roman" w:cs="Times New Roman"/>
                <w:color w:val="auto"/>
                <w:sz w:val="24"/>
                <w:szCs w:val="24"/>
              </w:rPr>
              <w:t>Unbanked</w:t>
            </w:r>
          </w:p>
        </w:tc>
      </w:tr>
      <w:tr w:rsidR="0007237D" w:rsidRPr="0007237D" w:rsidTr="0007237D">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4695" w:type="dxa"/>
            <w:tcBorders>
              <w:top w:val="none" w:sz="0" w:space="0" w:color="auto"/>
              <w:left w:val="none" w:sz="0" w:space="0" w:color="auto"/>
              <w:bottom w:val="none" w:sz="0" w:space="0" w:color="auto"/>
            </w:tcBorders>
            <w:hideMark/>
          </w:tcPr>
          <w:p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I am able to pay bills and save</w:t>
            </w:r>
          </w:p>
        </w:tc>
        <w:tc>
          <w:tcPr>
            <w:tcW w:w="2340" w:type="dxa"/>
            <w:tcBorders>
              <w:top w:val="none" w:sz="0" w:space="0" w:color="auto"/>
              <w:bottom w:val="none" w:sz="0" w:space="0" w:color="auto"/>
            </w:tcBorders>
            <w:hideMark/>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24%</w:t>
            </w:r>
          </w:p>
        </w:tc>
        <w:tc>
          <w:tcPr>
            <w:tcW w:w="2162" w:type="dxa"/>
            <w:tcBorders>
              <w:top w:val="none" w:sz="0" w:space="0" w:color="auto"/>
              <w:bottom w:val="none" w:sz="0" w:space="0" w:color="auto"/>
              <w:right w:val="none" w:sz="0" w:space="0" w:color="auto"/>
            </w:tcBorders>
            <w:hideMark/>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11%</w:t>
            </w:r>
          </w:p>
        </w:tc>
      </w:tr>
      <w:tr w:rsidR="0007237D" w:rsidRPr="0007237D" w:rsidTr="0007237D">
        <w:trPr>
          <w:trHeight w:val="557"/>
        </w:trPr>
        <w:tc>
          <w:tcPr>
            <w:cnfStyle w:val="001000000000" w:firstRow="0" w:lastRow="0" w:firstColumn="1" w:lastColumn="0" w:oddVBand="0" w:evenVBand="0" w:oddHBand="0" w:evenHBand="0" w:firstRowFirstColumn="0" w:firstRowLastColumn="0" w:lastRowFirstColumn="0" w:lastRowLastColumn="0"/>
            <w:tcW w:w="4695" w:type="dxa"/>
            <w:hideMark/>
          </w:tcPr>
          <w:p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I am able to pay bills but no enough to save</w:t>
            </w:r>
          </w:p>
        </w:tc>
        <w:tc>
          <w:tcPr>
            <w:tcW w:w="2340" w:type="dxa"/>
            <w:hideMark/>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49%</w:t>
            </w:r>
          </w:p>
        </w:tc>
        <w:tc>
          <w:tcPr>
            <w:tcW w:w="2162" w:type="dxa"/>
            <w:hideMark/>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51%</w:t>
            </w:r>
          </w:p>
        </w:tc>
      </w:tr>
      <w:tr w:rsidR="0007237D" w:rsidRPr="0007237D" w:rsidTr="0007237D">
        <w:trPr>
          <w:cnfStyle w:val="000000100000" w:firstRow="0" w:lastRow="0" w:firstColumn="0" w:lastColumn="0" w:oddVBand="0" w:evenVBand="0" w:oddHBand="1" w:evenHBand="0" w:firstRowFirstColumn="0" w:firstRowLastColumn="0" w:lastRowFirstColumn="0" w:lastRowLastColumn="0"/>
          <w:trHeight w:val="741"/>
        </w:trPr>
        <w:tc>
          <w:tcPr>
            <w:cnfStyle w:val="001000000000" w:firstRow="0" w:lastRow="0" w:firstColumn="1" w:lastColumn="0" w:oddVBand="0" w:evenVBand="0" w:oddHBand="0" w:evenHBand="0" w:firstRowFirstColumn="0" w:firstRowLastColumn="0" w:lastRowFirstColumn="0" w:lastRowLastColumn="0"/>
            <w:tcW w:w="4695" w:type="dxa"/>
            <w:tcBorders>
              <w:top w:val="none" w:sz="0" w:space="0" w:color="auto"/>
              <w:left w:val="none" w:sz="0" w:space="0" w:color="auto"/>
              <w:bottom w:val="none" w:sz="0" w:space="0" w:color="auto"/>
            </w:tcBorders>
            <w:hideMark/>
          </w:tcPr>
          <w:p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I am not making enough to pay regular expenses financial health</w:t>
            </w:r>
          </w:p>
        </w:tc>
        <w:tc>
          <w:tcPr>
            <w:tcW w:w="2340" w:type="dxa"/>
            <w:tcBorders>
              <w:top w:val="none" w:sz="0" w:space="0" w:color="auto"/>
              <w:bottom w:val="none" w:sz="0" w:space="0" w:color="auto"/>
            </w:tcBorders>
            <w:hideMark/>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27%</w:t>
            </w:r>
          </w:p>
        </w:tc>
        <w:tc>
          <w:tcPr>
            <w:tcW w:w="2162" w:type="dxa"/>
            <w:tcBorders>
              <w:top w:val="none" w:sz="0" w:space="0" w:color="auto"/>
              <w:bottom w:val="none" w:sz="0" w:space="0" w:color="auto"/>
              <w:right w:val="none" w:sz="0" w:space="0" w:color="auto"/>
            </w:tcBorders>
            <w:hideMark/>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38%</w:t>
            </w:r>
          </w:p>
        </w:tc>
      </w:tr>
    </w:tbl>
    <w:p w:rsidR="0007237D" w:rsidRPr="0007237D" w:rsidRDefault="0007237D" w:rsidP="0007237D">
      <w:pPr>
        <w:jc w:val="both"/>
        <w:rPr>
          <w:rFonts w:ascii="Times New Roman" w:hAnsi="Times New Roman" w:cs="Times New Roman"/>
          <w:b/>
          <w:sz w:val="24"/>
          <w:szCs w:val="24"/>
        </w:rPr>
      </w:pPr>
    </w:p>
    <w:p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t xml:space="preserve">Fig </w:t>
      </w:r>
      <w:r w:rsidRPr="0007237D">
        <w:rPr>
          <w:rFonts w:ascii="Times New Roman" w:hAnsi="Times New Roman" w:cs="Times New Roman"/>
          <w:b/>
          <w:sz w:val="24"/>
          <w:szCs w:val="24"/>
        </w:rPr>
        <w:t>5</w:t>
      </w:r>
      <w:r w:rsidRPr="0007237D">
        <w:rPr>
          <w:rFonts w:ascii="Times New Roman" w:hAnsi="Times New Roman" w:cs="Times New Roman"/>
          <w:b/>
          <w:sz w:val="24"/>
          <w:szCs w:val="24"/>
        </w:rPr>
        <w:t>: Unbanked households categorized by ethnicity and race in 2009 and 2011</w:t>
      </w:r>
    </w:p>
    <w:tbl>
      <w:tblPr>
        <w:tblStyle w:val="LightList-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07237D" w:rsidRPr="0007237D" w:rsidTr="00F578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color w:val="auto"/>
                <w:sz w:val="24"/>
                <w:szCs w:val="24"/>
              </w:rPr>
            </w:pPr>
            <w:r w:rsidRPr="0007237D">
              <w:rPr>
                <w:rFonts w:ascii="Times New Roman" w:hAnsi="Times New Roman" w:cs="Times New Roman"/>
                <w:color w:val="auto"/>
                <w:sz w:val="24"/>
                <w:szCs w:val="24"/>
              </w:rPr>
              <w:t>Race</w:t>
            </w:r>
          </w:p>
        </w:tc>
        <w:tc>
          <w:tcPr>
            <w:tcW w:w="3192" w:type="dxa"/>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7237D">
              <w:rPr>
                <w:rFonts w:ascii="Times New Roman" w:hAnsi="Times New Roman" w:cs="Times New Roman"/>
                <w:color w:val="auto"/>
                <w:sz w:val="24"/>
                <w:szCs w:val="24"/>
              </w:rPr>
              <w:t>% of households (2009)</w:t>
            </w:r>
          </w:p>
        </w:tc>
        <w:tc>
          <w:tcPr>
            <w:tcW w:w="3192" w:type="dxa"/>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7237D">
              <w:rPr>
                <w:rFonts w:ascii="Times New Roman" w:hAnsi="Times New Roman" w:cs="Times New Roman"/>
                <w:color w:val="auto"/>
                <w:sz w:val="24"/>
                <w:szCs w:val="24"/>
              </w:rPr>
              <w:t>% of households (2011)</w:t>
            </w:r>
          </w:p>
        </w:tc>
      </w:tr>
      <w:tr w:rsidR="0007237D" w:rsidRPr="0007237D"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All households</w:t>
            </w:r>
          </w:p>
        </w:tc>
        <w:tc>
          <w:tcPr>
            <w:tcW w:w="3192" w:type="dxa"/>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7.6</w:t>
            </w:r>
          </w:p>
        </w:tc>
        <w:tc>
          <w:tcPr>
            <w:tcW w:w="3192" w:type="dxa"/>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8.2</w:t>
            </w:r>
          </w:p>
        </w:tc>
      </w:tr>
      <w:tr w:rsidR="0007237D" w:rsidRPr="0007237D" w:rsidTr="00F57888">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Black</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21.5</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21.4</w:t>
            </w:r>
          </w:p>
        </w:tc>
      </w:tr>
      <w:tr w:rsidR="0007237D" w:rsidRPr="0007237D"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Hispanic</w:t>
            </w:r>
          </w:p>
        </w:tc>
        <w:tc>
          <w:tcPr>
            <w:tcW w:w="3192" w:type="dxa"/>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19.2</w:t>
            </w:r>
          </w:p>
        </w:tc>
        <w:tc>
          <w:tcPr>
            <w:tcW w:w="3192" w:type="dxa"/>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20.1</w:t>
            </w:r>
          </w:p>
        </w:tc>
      </w:tr>
      <w:tr w:rsidR="0007237D" w:rsidRPr="0007237D" w:rsidTr="00F57888">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American India</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15.3</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14.5</w:t>
            </w:r>
          </w:p>
        </w:tc>
      </w:tr>
      <w:tr w:rsidR="0007237D" w:rsidRPr="0007237D"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lastRenderedPageBreak/>
              <w:t>Hawalian/ Pacific Islander</w:t>
            </w:r>
          </w:p>
        </w:tc>
        <w:tc>
          <w:tcPr>
            <w:tcW w:w="3192" w:type="dxa"/>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9.0</w:t>
            </w:r>
          </w:p>
        </w:tc>
        <w:tc>
          <w:tcPr>
            <w:tcW w:w="3192" w:type="dxa"/>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6.2</w:t>
            </w:r>
          </w:p>
        </w:tc>
      </w:tr>
      <w:tr w:rsidR="0007237D" w:rsidRPr="0007237D" w:rsidTr="00F57888">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White</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3.3</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4.0</w:t>
            </w:r>
          </w:p>
        </w:tc>
      </w:tr>
      <w:tr w:rsidR="0007237D" w:rsidRPr="0007237D"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Asian</w:t>
            </w:r>
          </w:p>
        </w:tc>
        <w:tc>
          <w:tcPr>
            <w:tcW w:w="3192" w:type="dxa"/>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3.5</w:t>
            </w:r>
          </w:p>
        </w:tc>
        <w:tc>
          <w:tcPr>
            <w:tcW w:w="3192" w:type="dxa"/>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2.7</w:t>
            </w:r>
          </w:p>
        </w:tc>
      </w:tr>
    </w:tbl>
    <w:p w:rsidR="0007237D" w:rsidRPr="0007237D" w:rsidRDefault="0007237D" w:rsidP="0007237D">
      <w:pPr>
        <w:jc w:val="both"/>
        <w:rPr>
          <w:rFonts w:ascii="Times New Roman" w:hAnsi="Times New Roman" w:cs="Times New Roman"/>
          <w:b/>
          <w:sz w:val="24"/>
          <w:szCs w:val="24"/>
        </w:rPr>
      </w:pPr>
    </w:p>
    <w:p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t xml:space="preserve">Fig </w:t>
      </w:r>
      <w:r w:rsidRPr="0007237D">
        <w:rPr>
          <w:rFonts w:ascii="Times New Roman" w:hAnsi="Times New Roman" w:cs="Times New Roman"/>
          <w:b/>
          <w:sz w:val="24"/>
          <w:szCs w:val="24"/>
        </w:rPr>
        <w:t>6</w:t>
      </w:r>
      <w:r w:rsidRPr="0007237D">
        <w:rPr>
          <w:rFonts w:ascii="Times New Roman" w:hAnsi="Times New Roman" w:cs="Times New Roman"/>
          <w:b/>
          <w:sz w:val="24"/>
          <w:szCs w:val="24"/>
        </w:rPr>
        <w:t>: Unbanked households categorized by age in 2009 and 2011</w:t>
      </w:r>
    </w:p>
    <w:tbl>
      <w:tblPr>
        <w:tblStyle w:val="LightList-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07237D" w:rsidRPr="0007237D" w:rsidTr="00F578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color w:val="auto"/>
                <w:sz w:val="24"/>
                <w:szCs w:val="24"/>
              </w:rPr>
            </w:pPr>
            <w:r w:rsidRPr="0007237D">
              <w:rPr>
                <w:rFonts w:ascii="Times New Roman" w:hAnsi="Times New Roman" w:cs="Times New Roman"/>
                <w:color w:val="auto"/>
                <w:sz w:val="24"/>
                <w:szCs w:val="24"/>
              </w:rPr>
              <w:t>Age</w:t>
            </w:r>
          </w:p>
        </w:tc>
        <w:tc>
          <w:tcPr>
            <w:tcW w:w="3192" w:type="dxa"/>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7237D">
              <w:rPr>
                <w:rFonts w:ascii="Times New Roman" w:hAnsi="Times New Roman" w:cs="Times New Roman"/>
                <w:color w:val="auto"/>
                <w:sz w:val="24"/>
                <w:szCs w:val="24"/>
              </w:rPr>
              <w:t>% of households (2009)</w:t>
            </w:r>
          </w:p>
        </w:tc>
        <w:tc>
          <w:tcPr>
            <w:tcW w:w="3192" w:type="dxa"/>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7237D">
              <w:rPr>
                <w:rFonts w:ascii="Times New Roman" w:hAnsi="Times New Roman" w:cs="Times New Roman"/>
                <w:color w:val="auto"/>
                <w:sz w:val="24"/>
                <w:szCs w:val="24"/>
              </w:rPr>
              <w:t>% of households (2011)</w:t>
            </w:r>
          </w:p>
        </w:tc>
      </w:tr>
      <w:tr w:rsidR="0007237D" w:rsidRPr="0007237D"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All households</w:t>
            </w:r>
          </w:p>
        </w:tc>
        <w:tc>
          <w:tcPr>
            <w:tcW w:w="3192" w:type="dxa"/>
            <w:tcBorders>
              <w:top w:val="none" w:sz="0" w:space="0" w:color="auto"/>
              <w:bottom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7.6</w:t>
            </w:r>
          </w:p>
        </w:tc>
        <w:tc>
          <w:tcPr>
            <w:tcW w:w="3192" w:type="dxa"/>
            <w:tcBorders>
              <w:top w:val="none" w:sz="0" w:space="0" w:color="auto"/>
              <w:bottom w:val="none" w:sz="0" w:space="0" w:color="auto"/>
              <w:right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8.2</w:t>
            </w:r>
          </w:p>
        </w:tc>
      </w:tr>
      <w:tr w:rsidR="0007237D" w:rsidRPr="0007237D" w:rsidTr="00F57888">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15-24 years</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15.7</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17.4</w:t>
            </w:r>
          </w:p>
        </w:tc>
      </w:tr>
      <w:tr w:rsidR="0007237D" w:rsidRPr="0007237D"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25-34 years</w:t>
            </w:r>
          </w:p>
        </w:tc>
        <w:tc>
          <w:tcPr>
            <w:tcW w:w="3192" w:type="dxa"/>
            <w:tcBorders>
              <w:top w:val="none" w:sz="0" w:space="0" w:color="auto"/>
              <w:bottom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11.7</w:t>
            </w:r>
          </w:p>
        </w:tc>
        <w:tc>
          <w:tcPr>
            <w:tcW w:w="3192" w:type="dxa"/>
            <w:tcBorders>
              <w:top w:val="none" w:sz="0" w:space="0" w:color="auto"/>
              <w:bottom w:val="none" w:sz="0" w:space="0" w:color="auto"/>
              <w:right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12.7</w:t>
            </w:r>
          </w:p>
        </w:tc>
      </w:tr>
      <w:tr w:rsidR="0007237D" w:rsidRPr="0007237D" w:rsidTr="00F57888">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35-44 years</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8.9</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8.9</w:t>
            </w:r>
          </w:p>
        </w:tc>
      </w:tr>
      <w:tr w:rsidR="0007237D" w:rsidRPr="0007237D"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45-54 years</w:t>
            </w:r>
          </w:p>
        </w:tc>
        <w:tc>
          <w:tcPr>
            <w:tcW w:w="3192" w:type="dxa"/>
            <w:tcBorders>
              <w:top w:val="none" w:sz="0" w:space="0" w:color="auto"/>
              <w:bottom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7.5</w:t>
            </w:r>
          </w:p>
        </w:tc>
        <w:tc>
          <w:tcPr>
            <w:tcW w:w="3192" w:type="dxa"/>
            <w:tcBorders>
              <w:top w:val="none" w:sz="0" w:space="0" w:color="auto"/>
              <w:bottom w:val="none" w:sz="0" w:space="0" w:color="auto"/>
              <w:right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8.1</w:t>
            </w:r>
          </w:p>
        </w:tc>
      </w:tr>
      <w:tr w:rsidR="0007237D" w:rsidRPr="0007237D" w:rsidTr="00F57888">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55-64 years</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4.8</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5.5</w:t>
            </w:r>
          </w:p>
        </w:tc>
      </w:tr>
      <w:tr w:rsidR="0007237D" w:rsidRPr="0007237D"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65+ years</w:t>
            </w:r>
          </w:p>
        </w:tc>
        <w:tc>
          <w:tcPr>
            <w:tcW w:w="3192" w:type="dxa"/>
            <w:tcBorders>
              <w:top w:val="none" w:sz="0" w:space="0" w:color="auto"/>
              <w:bottom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3.5</w:t>
            </w:r>
          </w:p>
        </w:tc>
        <w:tc>
          <w:tcPr>
            <w:tcW w:w="3192" w:type="dxa"/>
            <w:tcBorders>
              <w:top w:val="none" w:sz="0" w:space="0" w:color="auto"/>
              <w:bottom w:val="none" w:sz="0" w:space="0" w:color="auto"/>
              <w:right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3.9</w:t>
            </w:r>
          </w:p>
        </w:tc>
      </w:tr>
    </w:tbl>
    <w:p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t xml:space="preserve">Fig </w:t>
      </w:r>
      <w:r w:rsidRPr="0007237D">
        <w:rPr>
          <w:rFonts w:ascii="Times New Roman" w:hAnsi="Times New Roman" w:cs="Times New Roman"/>
          <w:b/>
          <w:sz w:val="24"/>
          <w:szCs w:val="24"/>
        </w:rPr>
        <w:t>7</w:t>
      </w:r>
      <w:r w:rsidRPr="0007237D">
        <w:rPr>
          <w:rFonts w:ascii="Times New Roman" w:hAnsi="Times New Roman" w:cs="Times New Roman"/>
          <w:b/>
          <w:sz w:val="24"/>
          <w:szCs w:val="24"/>
        </w:rPr>
        <w:t>: Unbanked households categorized by Income in 2009 and 2011</w:t>
      </w:r>
    </w:p>
    <w:tbl>
      <w:tblPr>
        <w:tblStyle w:val="LightList-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07237D" w:rsidRPr="0007237D" w:rsidTr="00F578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color w:val="auto"/>
                <w:sz w:val="24"/>
                <w:szCs w:val="24"/>
              </w:rPr>
            </w:pPr>
            <w:r w:rsidRPr="0007237D">
              <w:rPr>
                <w:rFonts w:ascii="Times New Roman" w:hAnsi="Times New Roman" w:cs="Times New Roman"/>
                <w:color w:val="auto"/>
                <w:sz w:val="24"/>
                <w:szCs w:val="24"/>
              </w:rPr>
              <w:t>Income per year</w:t>
            </w:r>
          </w:p>
        </w:tc>
        <w:tc>
          <w:tcPr>
            <w:tcW w:w="3192" w:type="dxa"/>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7237D">
              <w:rPr>
                <w:rFonts w:ascii="Times New Roman" w:hAnsi="Times New Roman" w:cs="Times New Roman"/>
                <w:color w:val="auto"/>
                <w:sz w:val="24"/>
                <w:szCs w:val="24"/>
              </w:rPr>
              <w:t>% of households (2009)</w:t>
            </w:r>
          </w:p>
        </w:tc>
        <w:tc>
          <w:tcPr>
            <w:tcW w:w="3192" w:type="dxa"/>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7237D">
              <w:rPr>
                <w:rFonts w:ascii="Times New Roman" w:hAnsi="Times New Roman" w:cs="Times New Roman"/>
                <w:color w:val="auto"/>
                <w:sz w:val="24"/>
                <w:szCs w:val="24"/>
              </w:rPr>
              <w:t>% of households (2011)</w:t>
            </w:r>
          </w:p>
        </w:tc>
      </w:tr>
      <w:tr w:rsidR="0007237D" w:rsidRPr="0007237D"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All households</w:t>
            </w:r>
          </w:p>
        </w:tc>
        <w:tc>
          <w:tcPr>
            <w:tcW w:w="3192" w:type="dxa"/>
            <w:tcBorders>
              <w:top w:val="none" w:sz="0" w:space="0" w:color="auto"/>
              <w:bottom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7.6</w:t>
            </w:r>
          </w:p>
        </w:tc>
        <w:tc>
          <w:tcPr>
            <w:tcW w:w="3192" w:type="dxa"/>
            <w:tcBorders>
              <w:top w:val="none" w:sz="0" w:space="0" w:color="auto"/>
              <w:bottom w:val="none" w:sz="0" w:space="0" w:color="auto"/>
              <w:right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8.2</w:t>
            </w:r>
          </w:p>
        </w:tc>
      </w:tr>
      <w:tr w:rsidR="0007237D" w:rsidRPr="0007237D" w:rsidTr="00F57888">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&gt;$15,000</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27.0</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29.6</w:t>
            </w:r>
          </w:p>
        </w:tc>
      </w:tr>
      <w:tr w:rsidR="0007237D" w:rsidRPr="0007237D"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$15,000 to $30,000</w:t>
            </w:r>
          </w:p>
        </w:tc>
        <w:tc>
          <w:tcPr>
            <w:tcW w:w="3192" w:type="dxa"/>
            <w:tcBorders>
              <w:top w:val="none" w:sz="0" w:space="0" w:color="auto"/>
              <w:bottom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13.0</w:t>
            </w:r>
          </w:p>
        </w:tc>
        <w:tc>
          <w:tcPr>
            <w:tcW w:w="3192" w:type="dxa"/>
            <w:tcBorders>
              <w:top w:val="none" w:sz="0" w:space="0" w:color="auto"/>
              <w:bottom w:val="none" w:sz="0" w:space="0" w:color="auto"/>
              <w:right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11.4</w:t>
            </w:r>
          </w:p>
        </w:tc>
      </w:tr>
      <w:tr w:rsidR="0007237D" w:rsidRPr="0007237D" w:rsidTr="00F57888">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$30,000 to $50,000</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4.1</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4.5</w:t>
            </w:r>
          </w:p>
        </w:tc>
      </w:tr>
      <w:tr w:rsidR="0007237D" w:rsidRPr="0007237D"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$50,000 to $75,000</w:t>
            </w:r>
          </w:p>
        </w:tc>
        <w:tc>
          <w:tcPr>
            <w:tcW w:w="3192" w:type="dxa"/>
            <w:tcBorders>
              <w:top w:val="none" w:sz="0" w:space="0" w:color="auto"/>
              <w:bottom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1.5</w:t>
            </w:r>
          </w:p>
        </w:tc>
        <w:tc>
          <w:tcPr>
            <w:tcW w:w="3192" w:type="dxa"/>
            <w:tcBorders>
              <w:top w:val="none" w:sz="0" w:space="0" w:color="auto"/>
              <w:bottom w:val="none" w:sz="0" w:space="0" w:color="auto"/>
              <w:right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1.4</w:t>
            </w:r>
          </w:p>
        </w:tc>
      </w:tr>
      <w:tr w:rsidR="0007237D" w:rsidRPr="0007237D" w:rsidTr="00F57888">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At least $75,000</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0.3</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0.2</w:t>
            </w:r>
          </w:p>
        </w:tc>
      </w:tr>
    </w:tbl>
    <w:p w:rsidR="0007237D" w:rsidRPr="0007237D" w:rsidRDefault="0007237D" w:rsidP="0007237D">
      <w:pPr>
        <w:jc w:val="both"/>
        <w:rPr>
          <w:rFonts w:ascii="Times New Roman" w:hAnsi="Times New Roman" w:cs="Times New Roman"/>
          <w:b/>
          <w:sz w:val="24"/>
          <w:szCs w:val="24"/>
        </w:rPr>
      </w:pPr>
    </w:p>
    <w:p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lastRenderedPageBreak/>
        <w:t xml:space="preserve">Fig </w:t>
      </w:r>
      <w:r w:rsidRPr="0007237D">
        <w:rPr>
          <w:rFonts w:ascii="Times New Roman" w:hAnsi="Times New Roman" w:cs="Times New Roman"/>
          <w:b/>
          <w:sz w:val="24"/>
          <w:szCs w:val="24"/>
        </w:rPr>
        <w:t>8</w:t>
      </w:r>
      <w:r w:rsidRPr="0007237D">
        <w:rPr>
          <w:rFonts w:ascii="Times New Roman" w:hAnsi="Times New Roman" w:cs="Times New Roman"/>
          <w:b/>
          <w:sz w:val="24"/>
          <w:szCs w:val="24"/>
        </w:rPr>
        <w:t>: Unbanked households categorized by Household Type in 2009 and 2011</w:t>
      </w:r>
    </w:p>
    <w:tbl>
      <w:tblPr>
        <w:tblStyle w:val="LightList-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07237D" w:rsidRPr="0007237D" w:rsidTr="00F578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color w:val="auto"/>
                <w:sz w:val="24"/>
                <w:szCs w:val="24"/>
              </w:rPr>
            </w:pPr>
            <w:r w:rsidRPr="0007237D">
              <w:rPr>
                <w:rFonts w:ascii="Times New Roman" w:hAnsi="Times New Roman" w:cs="Times New Roman"/>
                <w:color w:val="auto"/>
                <w:sz w:val="24"/>
                <w:szCs w:val="24"/>
              </w:rPr>
              <w:t>Household Type</w:t>
            </w:r>
          </w:p>
        </w:tc>
        <w:tc>
          <w:tcPr>
            <w:tcW w:w="3192" w:type="dxa"/>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7237D">
              <w:rPr>
                <w:rFonts w:ascii="Times New Roman" w:hAnsi="Times New Roman" w:cs="Times New Roman"/>
                <w:color w:val="auto"/>
                <w:sz w:val="24"/>
                <w:szCs w:val="24"/>
              </w:rPr>
              <w:t>% of households (2009)</w:t>
            </w:r>
          </w:p>
        </w:tc>
        <w:tc>
          <w:tcPr>
            <w:tcW w:w="3192" w:type="dxa"/>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7237D">
              <w:rPr>
                <w:rFonts w:ascii="Times New Roman" w:hAnsi="Times New Roman" w:cs="Times New Roman"/>
                <w:color w:val="auto"/>
                <w:sz w:val="24"/>
                <w:szCs w:val="24"/>
              </w:rPr>
              <w:t>% of households (2011)</w:t>
            </w:r>
          </w:p>
        </w:tc>
      </w:tr>
      <w:tr w:rsidR="0007237D" w:rsidRPr="0007237D"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All households</w:t>
            </w:r>
          </w:p>
        </w:tc>
        <w:tc>
          <w:tcPr>
            <w:tcW w:w="3192" w:type="dxa"/>
            <w:tcBorders>
              <w:top w:val="none" w:sz="0" w:space="0" w:color="auto"/>
              <w:bottom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7.6</w:t>
            </w:r>
          </w:p>
        </w:tc>
        <w:tc>
          <w:tcPr>
            <w:tcW w:w="3192" w:type="dxa"/>
            <w:tcBorders>
              <w:top w:val="none" w:sz="0" w:space="0" w:color="auto"/>
              <w:bottom w:val="none" w:sz="0" w:space="0" w:color="auto"/>
              <w:right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8.2</w:t>
            </w:r>
          </w:p>
        </w:tc>
      </w:tr>
      <w:tr w:rsidR="0007237D" w:rsidRPr="0007237D" w:rsidTr="00F57888">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Unmarried female family</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19.5</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19.1</w:t>
            </w:r>
          </w:p>
        </w:tc>
      </w:tr>
      <w:tr w:rsidR="0007237D" w:rsidRPr="0007237D"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Unmarried Male family</w:t>
            </w:r>
          </w:p>
        </w:tc>
        <w:tc>
          <w:tcPr>
            <w:tcW w:w="3192" w:type="dxa"/>
            <w:tcBorders>
              <w:top w:val="none" w:sz="0" w:space="0" w:color="auto"/>
              <w:bottom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14.8</w:t>
            </w:r>
          </w:p>
        </w:tc>
        <w:tc>
          <w:tcPr>
            <w:tcW w:w="3192" w:type="dxa"/>
            <w:tcBorders>
              <w:top w:val="none" w:sz="0" w:space="0" w:color="auto"/>
              <w:bottom w:val="none" w:sz="0" w:space="0" w:color="auto"/>
              <w:right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14.3</w:t>
            </w:r>
          </w:p>
        </w:tc>
      </w:tr>
      <w:tr w:rsidR="0007237D" w:rsidRPr="0007237D" w:rsidTr="00F57888">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Individual female</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6.6</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7.8</w:t>
            </w:r>
          </w:p>
        </w:tc>
      </w:tr>
      <w:tr w:rsidR="0007237D" w:rsidRPr="0007237D"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Individual male</w:t>
            </w:r>
          </w:p>
        </w:tc>
        <w:tc>
          <w:tcPr>
            <w:tcW w:w="3192" w:type="dxa"/>
            <w:tcBorders>
              <w:top w:val="none" w:sz="0" w:space="0" w:color="auto"/>
              <w:bottom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17.7</w:t>
            </w:r>
          </w:p>
        </w:tc>
        <w:tc>
          <w:tcPr>
            <w:tcW w:w="3192" w:type="dxa"/>
            <w:tcBorders>
              <w:top w:val="none" w:sz="0" w:space="0" w:color="auto"/>
              <w:bottom w:val="none" w:sz="0" w:space="0" w:color="auto"/>
              <w:right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11.4</w:t>
            </w:r>
          </w:p>
        </w:tc>
      </w:tr>
      <w:tr w:rsidR="0007237D" w:rsidRPr="0007237D" w:rsidTr="00F57888">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Married couples</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3.5</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3.7</w:t>
            </w:r>
          </w:p>
        </w:tc>
      </w:tr>
    </w:tbl>
    <w:p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t xml:space="preserve">Fig </w:t>
      </w:r>
      <w:r w:rsidRPr="0007237D">
        <w:rPr>
          <w:rFonts w:ascii="Times New Roman" w:hAnsi="Times New Roman" w:cs="Times New Roman"/>
          <w:b/>
          <w:sz w:val="24"/>
          <w:szCs w:val="24"/>
        </w:rPr>
        <w:t>9</w:t>
      </w:r>
      <w:r w:rsidRPr="0007237D">
        <w:rPr>
          <w:rFonts w:ascii="Times New Roman" w:hAnsi="Times New Roman" w:cs="Times New Roman"/>
          <w:b/>
          <w:sz w:val="24"/>
          <w:szCs w:val="24"/>
        </w:rPr>
        <w:t>: Unbanked households categorized by Education in 2009 and 2011</w:t>
      </w:r>
    </w:p>
    <w:tbl>
      <w:tblPr>
        <w:tblStyle w:val="LightList-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07237D" w:rsidRPr="0007237D" w:rsidTr="00F578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color w:val="auto"/>
                <w:sz w:val="24"/>
                <w:szCs w:val="24"/>
              </w:rPr>
            </w:pPr>
            <w:r w:rsidRPr="0007237D">
              <w:rPr>
                <w:rFonts w:ascii="Times New Roman" w:hAnsi="Times New Roman" w:cs="Times New Roman"/>
                <w:color w:val="auto"/>
                <w:sz w:val="24"/>
                <w:szCs w:val="24"/>
              </w:rPr>
              <w:t>Education</w:t>
            </w:r>
          </w:p>
        </w:tc>
        <w:tc>
          <w:tcPr>
            <w:tcW w:w="3192" w:type="dxa"/>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7237D">
              <w:rPr>
                <w:rFonts w:ascii="Times New Roman" w:hAnsi="Times New Roman" w:cs="Times New Roman"/>
                <w:color w:val="auto"/>
                <w:sz w:val="24"/>
                <w:szCs w:val="24"/>
              </w:rPr>
              <w:t>% of households (2009)</w:t>
            </w:r>
          </w:p>
        </w:tc>
        <w:tc>
          <w:tcPr>
            <w:tcW w:w="3192" w:type="dxa"/>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7237D">
              <w:rPr>
                <w:rFonts w:ascii="Times New Roman" w:hAnsi="Times New Roman" w:cs="Times New Roman"/>
                <w:color w:val="auto"/>
                <w:sz w:val="24"/>
                <w:szCs w:val="24"/>
              </w:rPr>
              <w:t>% of households (2011)</w:t>
            </w:r>
          </w:p>
        </w:tc>
      </w:tr>
      <w:tr w:rsidR="0007237D" w:rsidRPr="0007237D"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All households</w:t>
            </w:r>
          </w:p>
        </w:tc>
        <w:tc>
          <w:tcPr>
            <w:tcW w:w="3192" w:type="dxa"/>
            <w:tcBorders>
              <w:top w:val="none" w:sz="0" w:space="0" w:color="auto"/>
              <w:bottom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7.6</w:t>
            </w:r>
          </w:p>
        </w:tc>
        <w:tc>
          <w:tcPr>
            <w:tcW w:w="3192" w:type="dxa"/>
            <w:tcBorders>
              <w:top w:val="none" w:sz="0" w:space="0" w:color="auto"/>
              <w:bottom w:val="none" w:sz="0" w:space="0" w:color="auto"/>
              <w:right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8.2</w:t>
            </w:r>
          </w:p>
        </w:tc>
      </w:tr>
      <w:tr w:rsidR="0007237D" w:rsidRPr="0007237D" w:rsidTr="00F57888">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No high schools degree</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24.4</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25.8</w:t>
            </w:r>
          </w:p>
        </w:tc>
      </w:tr>
      <w:tr w:rsidR="0007237D" w:rsidRPr="0007237D"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Has a high school degree</w:t>
            </w:r>
          </w:p>
        </w:tc>
        <w:tc>
          <w:tcPr>
            <w:tcW w:w="3192" w:type="dxa"/>
            <w:tcBorders>
              <w:top w:val="none" w:sz="0" w:space="0" w:color="auto"/>
              <w:bottom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9.6</w:t>
            </w:r>
          </w:p>
        </w:tc>
        <w:tc>
          <w:tcPr>
            <w:tcW w:w="3192" w:type="dxa"/>
            <w:tcBorders>
              <w:top w:val="none" w:sz="0" w:space="0" w:color="auto"/>
              <w:bottom w:val="none" w:sz="0" w:space="0" w:color="auto"/>
              <w:right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10.9</w:t>
            </w:r>
          </w:p>
        </w:tc>
      </w:tr>
      <w:tr w:rsidR="0007237D" w:rsidRPr="0007237D" w:rsidTr="00F57888">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Some college</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4.9</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5.9</w:t>
            </w:r>
          </w:p>
        </w:tc>
      </w:tr>
      <w:tr w:rsidR="0007237D" w:rsidRPr="0007237D"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College degree</w:t>
            </w:r>
          </w:p>
        </w:tc>
        <w:tc>
          <w:tcPr>
            <w:tcW w:w="3192" w:type="dxa"/>
            <w:tcBorders>
              <w:top w:val="none" w:sz="0" w:space="0" w:color="auto"/>
              <w:bottom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1.2</w:t>
            </w:r>
          </w:p>
        </w:tc>
        <w:tc>
          <w:tcPr>
            <w:tcW w:w="3192" w:type="dxa"/>
            <w:tcBorders>
              <w:top w:val="none" w:sz="0" w:space="0" w:color="auto"/>
              <w:bottom w:val="none" w:sz="0" w:space="0" w:color="auto"/>
              <w:right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1.1</w:t>
            </w:r>
          </w:p>
        </w:tc>
      </w:tr>
    </w:tbl>
    <w:p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t xml:space="preserve">Fig </w:t>
      </w:r>
      <w:r w:rsidRPr="0007237D">
        <w:rPr>
          <w:rFonts w:ascii="Times New Roman" w:hAnsi="Times New Roman" w:cs="Times New Roman"/>
          <w:b/>
          <w:sz w:val="24"/>
          <w:szCs w:val="24"/>
        </w:rPr>
        <w:t>10</w:t>
      </w:r>
      <w:r w:rsidRPr="0007237D">
        <w:rPr>
          <w:rFonts w:ascii="Times New Roman" w:hAnsi="Times New Roman" w:cs="Times New Roman"/>
          <w:b/>
          <w:sz w:val="24"/>
          <w:szCs w:val="24"/>
        </w:rPr>
        <w:t>: Unbanked households categorized by Employment Status in 2009 and 2011</w:t>
      </w:r>
    </w:p>
    <w:tbl>
      <w:tblPr>
        <w:tblStyle w:val="LightList-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07237D" w:rsidRPr="0007237D" w:rsidTr="00F578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color w:val="auto"/>
                <w:sz w:val="24"/>
                <w:szCs w:val="24"/>
              </w:rPr>
            </w:pPr>
            <w:r w:rsidRPr="0007237D">
              <w:rPr>
                <w:rFonts w:ascii="Times New Roman" w:hAnsi="Times New Roman" w:cs="Times New Roman"/>
                <w:color w:val="auto"/>
                <w:sz w:val="24"/>
                <w:szCs w:val="24"/>
              </w:rPr>
              <w:t>Employment Status</w:t>
            </w:r>
          </w:p>
        </w:tc>
        <w:tc>
          <w:tcPr>
            <w:tcW w:w="3192" w:type="dxa"/>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7237D">
              <w:rPr>
                <w:rFonts w:ascii="Times New Roman" w:hAnsi="Times New Roman" w:cs="Times New Roman"/>
                <w:color w:val="auto"/>
                <w:sz w:val="24"/>
                <w:szCs w:val="24"/>
              </w:rPr>
              <w:t>% of households (2009)</w:t>
            </w:r>
          </w:p>
        </w:tc>
        <w:tc>
          <w:tcPr>
            <w:tcW w:w="3192" w:type="dxa"/>
          </w:tcPr>
          <w:p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7237D">
              <w:rPr>
                <w:rFonts w:ascii="Times New Roman" w:hAnsi="Times New Roman" w:cs="Times New Roman"/>
                <w:color w:val="auto"/>
                <w:sz w:val="24"/>
                <w:szCs w:val="24"/>
              </w:rPr>
              <w:t>% of households (2011)</w:t>
            </w:r>
          </w:p>
        </w:tc>
      </w:tr>
      <w:tr w:rsidR="0007237D" w:rsidRPr="0007237D"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All households</w:t>
            </w:r>
          </w:p>
        </w:tc>
        <w:tc>
          <w:tcPr>
            <w:tcW w:w="3192" w:type="dxa"/>
            <w:tcBorders>
              <w:top w:val="none" w:sz="0" w:space="0" w:color="auto"/>
              <w:bottom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7.6</w:t>
            </w:r>
          </w:p>
        </w:tc>
        <w:tc>
          <w:tcPr>
            <w:tcW w:w="3192" w:type="dxa"/>
            <w:tcBorders>
              <w:top w:val="none" w:sz="0" w:space="0" w:color="auto"/>
              <w:bottom w:val="none" w:sz="0" w:space="0" w:color="auto"/>
              <w:right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8.2</w:t>
            </w:r>
          </w:p>
        </w:tc>
      </w:tr>
      <w:tr w:rsidR="0007237D" w:rsidRPr="0007237D" w:rsidTr="00F57888">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Unemployed</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19.1</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22.5</w:t>
            </w:r>
          </w:p>
        </w:tc>
      </w:tr>
      <w:tr w:rsidR="0007237D" w:rsidRPr="0007237D"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Not in labor force</w:t>
            </w:r>
          </w:p>
        </w:tc>
        <w:tc>
          <w:tcPr>
            <w:tcW w:w="3192" w:type="dxa"/>
            <w:tcBorders>
              <w:top w:val="none" w:sz="0" w:space="0" w:color="auto"/>
              <w:bottom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9.7</w:t>
            </w:r>
          </w:p>
        </w:tc>
        <w:tc>
          <w:tcPr>
            <w:tcW w:w="3192" w:type="dxa"/>
            <w:tcBorders>
              <w:top w:val="none" w:sz="0" w:space="0" w:color="auto"/>
              <w:bottom w:val="none" w:sz="0" w:space="0" w:color="auto"/>
              <w:right w:val="none" w:sz="0" w:space="0" w:color="auto"/>
            </w:tcBorders>
          </w:tcPr>
          <w:p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11.0</w:t>
            </w:r>
          </w:p>
        </w:tc>
      </w:tr>
      <w:tr w:rsidR="0007237D" w:rsidRPr="0007237D" w:rsidTr="00F57888">
        <w:tc>
          <w:tcPr>
            <w:cnfStyle w:val="001000000000" w:firstRow="0" w:lastRow="0" w:firstColumn="1" w:lastColumn="0" w:oddVBand="0" w:evenVBand="0" w:oddHBand="0" w:evenHBand="0" w:firstRowFirstColumn="0" w:firstRowLastColumn="0" w:lastRowFirstColumn="0" w:lastRowLastColumn="0"/>
            <w:tcW w:w="3192" w:type="dxa"/>
          </w:tcPr>
          <w:p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Employed</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5.5</w:t>
            </w:r>
          </w:p>
        </w:tc>
        <w:tc>
          <w:tcPr>
            <w:tcW w:w="3192" w:type="dxa"/>
          </w:tcPr>
          <w:p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5.3</w:t>
            </w:r>
          </w:p>
        </w:tc>
      </w:tr>
    </w:tbl>
    <w:p w:rsidR="0007237D" w:rsidRPr="0007237D" w:rsidRDefault="0007237D" w:rsidP="0007237D">
      <w:pPr>
        <w:jc w:val="both"/>
        <w:rPr>
          <w:rFonts w:ascii="Times New Roman" w:hAnsi="Times New Roman" w:cs="Times New Roman"/>
          <w:sz w:val="24"/>
          <w:szCs w:val="24"/>
        </w:rPr>
      </w:pPr>
    </w:p>
    <w:p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lastRenderedPageBreak/>
        <w:t>Results</w:t>
      </w:r>
    </w:p>
    <w:p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t xml:space="preserve">Fig1: </w:t>
      </w:r>
      <w:r w:rsidRPr="0007237D">
        <w:rPr>
          <w:rFonts w:ascii="Times New Roman" w:hAnsi="Times New Roman" w:cs="Times New Roman"/>
          <w:b/>
          <w:sz w:val="24"/>
          <w:szCs w:val="24"/>
        </w:rPr>
        <w:t>Financial behaviors from household income in form check</w:t>
      </w:r>
    </w:p>
    <w:p w:rsidR="00C70ECB" w:rsidRPr="0007237D" w:rsidRDefault="00C70ECB" w:rsidP="0007237D">
      <w:pPr>
        <w:jc w:val="both"/>
        <w:rPr>
          <w:rFonts w:ascii="Times New Roman" w:hAnsi="Times New Roman" w:cs="Times New Roman"/>
          <w:sz w:val="24"/>
          <w:szCs w:val="24"/>
        </w:rPr>
      </w:pPr>
      <w:r w:rsidRPr="0007237D">
        <w:rPr>
          <w:rFonts w:ascii="Times New Roman" w:hAnsi="Times New Roman" w:cs="Times New Roman"/>
          <w:noProof/>
          <w:sz w:val="24"/>
          <w:szCs w:val="24"/>
        </w:rPr>
        <w:drawing>
          <wp:inline distT="0" distB="0" distL="0" distR="0" wp14:anchorId="266BC734" wp14:editId="0FC5D715">
            <wp:extent cx="4724400" cy="3171825"/>
            <wp:effectExtent l="0" t="0" r="1905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7237D" w:rsidRPr="0007237D" w:rsidRDefault="0007237D" w:rsidP="0007237D">
      <w:pPr>
        <w:jc w:val="both"/>
        <w:rPr>
          <w:rFonts w:ascii="Times New Roman" w:hAnsi="Times New Roman" w:cs="Times New Roman"/>
          <w:sz w:val="24"/>
          <w:szCs w:val="24"/>
        </w:rPr>
      </w:pPr>
      <w:r w:rsidRPr="0007237D">
        <w:rPr>
          <w:rFonts w:ascii="Times New Roman" w:hAnsi="Times New Roman" w:cs="Times New Roman"/>
          <w:b/>
          <w:sz w:val="24"/>
          <w:szCs w:val="24"/>
        </w:rPr>
        <w:t>Fig</w:t>
      </w:r>
      <w:r w:rsidRPr="0007237D">
        <w:rPr>
          <w:rFonts w:ascii="Times New Roman" w:hAnsi="Times New Roman" w:cs="Times New Roman"/>
          <w:b/>
          <w:sz w:val="24"/>
          <w:szCs w:val="24"/>
        </w:rPr>
        <w:t xml:space="preserve"> 2</w:t>
      </w:r>
      <w:r w:rsidRPr="0007237D">
        <w:rPr>
          <w:rFonts w:ascii="Times New Roman" w:hAnsi="Times New Roman" w:cs="Times New Roman"/>
          <w:b/>
          <w:sz w:val="24"/>
          <w:szCs w:val="24"/>
        </w:rPr>
        <w:t xml:space="preserve">: Financial behaviors from household income in form </w:t>
      </w:r>
      <w:r w:rsidRPr="0007237D">
        <w:rPr>
          <w:rFonts w:ascii="Times New Roman" w:hAnsi="Times New Roman" w:cs="Times New Roman"/>
          <w:b/>
          <w:sz w:val="24"/>
          <w:szCs w:val="24"/>
        </w:rPr>
        <w:t>cash</w:t>
      </w:r>
      <w:r w:rsidRPr="0007237D">
        <w:rPr>
          <w:rFonts w:ascii="Times New Roman" w:hAnsi="Times New Roman" w:cs="Times New Roman"/>
          <w:noProof/>
          <w:sz w:val="24"/>
          <w:szCs w:val="24"/>
        </w:rPr>
        <w:drawing>
          <wp:inline distT="0" distB="0" distL="0" distR="0" wp14:anchorId="33D8F528" wp14:editId="2541BFAC">
            <wp:extent cx="4676775" cy="3381375"/>
            <wp:effectExtent l="0" t="0" r="952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lastRenderedPageBreak/>
        <w:t>Fig</w:t>
      </w:r>
      <w:r w:rsidRPr="0007237D">
        <w:rPr>
          <w:rFonts w:ascii="Times New Roman" w:hAnsi="Times New Roman" w:cs="Times New Roman"/>
          <w:b/>
          <w:sz w:val="24"/>
          <w:szCs w:val="24"/>
        </w:rPr>
        <w:t xml:space="preserve"> 3</w:t>
      </w:r>
      <w:r w:rsidRPr="0007237D">
        <w:rPr>
          <w:rFonts w:ascii="Times New Roman" w:hAnsi="Times New Roman" w:cs="Times New Roman"/>
          <w:b/>
          <w:sz w:val="24"/>
          <w:szCs w:val="24"/>
        </w:rPr>
        <w:t xml:space="preserve">: </w:t>
      </w:r>
      <w:r>
        <w:rPr>
          <w:rFonts w:ascii="Times New Roman" w:hAnsi="Times New Roman" w:cs="Times New Roman"/>
          <w:b/>
          <w:sz w:val="24"/>
          <w:szCs w:val="24"/>
        </w:rPr>
        <w:t>Account History of the unbanked</w:t>
      </w:r>
    </w:p>
    <w:p w:rsidR="00881309" w:rsidRPr="0007237D" w:rsidRDefault="00881309" w:rsidP="0007237D">
      <w:pPr>
        <w:jc w:val="both"/>
        <w:rPr>
          <w:rFonts w:ascii="Times New Roman" w:hAnsi="Times New Roman" w:cs="Times New Roman"/>
          <w:sz w:val="24"/>
          <w:szCs w:val="24"/>
        </w:rPr>
      </w:pPr>
      <w:r w:rsidRPr="0007237D">
        <w:rPr>
          <w:rFonts w:ascii="Times New Roman" w:hAnsi="Times New Roman" w:cs="Times New Roman"/>
          <w:noProof/>
          <w:sz w:val="24"/>
          <w:szCs w:val="24"/>
        </w:rPr>
        <w:drawing>
          <wp:inline distT="0" distB="0" distL="0" distR="0" wp14:anchorId="6662EF8A" wp14:editId="7C8C7AF6">
            <wp:extent cx="4572000" cy="2743200"/>
            <wp:effectExtent l="0" t="0" r="19050" b="19050"/>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t>Fig</w:t>
      </w:r>
      <w:r w:rsidRPr="0007237D">
        <w:rPr>
          <w:rFonts w:ascii="Times New Roman" w:hAnsi="Times New Roman" w:cs="Times New Roman"/>
          <w:b/>
          <w:sz w:val="24"/>
          <w:szCs w:val="24"/>
        </w:rPr>
        <w:t xml:space="preserve"> 4</w:t>
      </w:r>
      <w:r w:rsidRPr="0007237D">
        <w:rPr>
          <w:rFonts w:ascii="Times New Roman" w:hAnsi="Times New Roman" w:cs="Times New Roman"/>
          <w:b/>
          <w:sz w:val="24"/>
          <w:szCs w:val="24"/>
        </w:rPr>
        <w:t xml:space="preserve">: </w:t>
      </w:r>
      <w:r w:rsidR="005416B5" w:rsidRPr="0007237D">
        <w:rPr>
          <w:rFonts w:ascii="Times New Roman" w:hAnsi="Times New Roman" w:cs="Times New Roman"/>
          <w:b/>
          <w:sz w:val="24"/>
          <w:szCs w:val="24"/>
        </w:rPr>
        <w:t xml:space="preserve">Perceptions of personal </w:t>
      </w:r>
      <w:r w:rsidR="00881309" w:rsidRPr="0007237D">
        <w:rPr>
          <w:rFonts w:ascii="Times New Roman" w:hAnsi="Times New Roman" w:cs="Times New Roman"/>
          <w:b/>
          <w:sz w:val="24"/>
          <w:szCs w:val="24"/>
        </w:rPr>
        <w:t>finance</w:t>
      </w:r>
    </w:p>
    <w:p w:rsidR="005416B5" w:rsidRPr="0007237D" w:rsidRDefault="004E6802" w:rsidP="0007237D">
      <w:pPr>
        <w:jc w:val="both"/>
        <w:rPr>
          <w:rFonts w:ascii="Times New Roman" w:hAnsi="Times New Roman" w:cs="Times New Roman"/>
          <w:sz w:val="24"/>
          <w:szCs w:val="24"/>
        </w:rPr>
      </w:pPr>
      <w:r w:rsidRPr="0007237D">
        <w:rPr>
          <w:rFonts w:ascii="Times New Roman" w:hAnsi="Times New Roman" w:cs="Times New Roman"/>
          <w:noProof/>
          <w:sz w:val="24"/>
          <w:szCs w:val="24"/>
        </w:rPr>
        <w:drawing>
          <wp:inline distT="0" distB="0" distL="0" distR="0" wp14:anchorId="34563CE8" wp14:editId="6B6B6EC3">
            <wp:extent cx="4476750" cy="2771775"/>
            <wp:effectExtent l="38100" t="0" r="19050" b="9525"/>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7237D" w:rsidRPr="0007237D" w:rsidRDefault="0007237D" w:rsidP="0007237D">
      <w:pPr>
        <w:jc w:val="both"/>
        <w:rPr>
          <w:rFonts w:ascii="Times New Roman" w:hAnsi="Times New Roman" w:cs="Times New Roman"/>
          <w:sz w:val="24"/>
          <w:szCs w:val="24"/>
        </w:rPr>
      </w:pPr>
    </w:p>
    <w:p w:rsidR="0007237D" w:rsidRPr="0007237D" w:rsidRDefault="0007237D" w:rsidP="0007237D">
      <w:pPr>
        <w:jc w:val="both"/>
        <w:rPr>
          <w:rFonts w:ascii="Times New Roman" w:hAnsi="Times New Roman" w:cs="Times New Roman"/>
          <w:sz w:val="24"/>
          <w:szCs w:val="24"/>
        </w:rPr>
      </w:pPr>
    </w:p>
    <w:p w:rsidR="00C91652" w:rsidRPr="0007237D" w:rsidRDefault="00C91652" w:rsidP="0007237D">
      <w:pPr>
        <w:jc w:val="both"/>
        <w:rPr>
          <w:rFonts w:ascii="Times New Roman" w:hAnsi="Times New Roman" w:cs="Times New Roman"/>
          <w:b/>
          <w:sz w:val="24"/>
          <w:szCs w:val="24"/>
        </w:rPr>
      </w:pPr>
      <w:r w:rsidRPr="0007237D">
        <w:rPr>
          <w:rFonts w:ascii="Times New Roman" w:hAnsi="Times New Roman" w:cs="Times New Roman"/>
          <w:b/>
          <w:sz w:val="24"/>
          <w:szCs w:val="24"/>
        </w:rPr>
        <w:lastRenderedPageBreak/>
        <w:t xml:space="preserve">Fig </w:t>
      </w:r>
      <w:r w:rsidR="0007237D" w:rsidRPr="0007237D">
        <w:rPr>
          <w:rFonts w:ascii="Times New Roman" w:hAnsi="Times New Roman" w:cs="Times New Roman"/>
          <w:b/>
          <w:sz w:val="24"/>
          <w:szCs w:val="24"/>
        </w:rPr>
        <w:t>5</w:t>
      </w:r>
      <w:r w:rsidRPr="0007237D">
        <w:rPr>
          <w:rFonts w:ascii="Times New Roman" w:hAnsi="Times New Roman" w:cs="Times New Roman"/>
          <w:b/>
          <w:sz w:val="24"/>
          <w:szCs w:val="24"/>
        </w:rPr>
        <w:t xml:space="preserve">: Unbanked households categorized by </w:t>
      </w:r>
      <w:r w:rsidR="00046473" w:rsidRPr="0007237D">
        <w:rPr>
          <w:rFonts w:ascii="Times New Roman" w:hAnsi="Times New Roman" w:cs="Times New Roman"/>
          <w:b/>
          <w:sz w:val="24"/>
          <w:szCs w:val="24"/>
        </w:rPr>
        <w:t>ethnicity and race in 2009 and 2011</w:t>
      </w:r>
    </w:p>
    <w:p w:rsidR="0007237D" w:rsidRPr="0007237D" w:rsidRDefault="00326E9D" w:rsidP="0007237D">
      <w:pPr>
        <w:jc w:val="both"/>
        <w:rPr>
          <w:rFonts w:ascii="Times New Roman" w:hAnsi="Times New Roman" w:cs="Times New Roman"/>
          <w:sz w:val="24"/>
          <w:szCs w:val="24"/>
        </w:rPr>
      </w:pPr>
      <w:r w:rsidRPr="0007237D">
        <w:rPr>
          <w:rFonts w:ascii="Times New Roman" w:hAnsi="Times New Roman" w:cs="Times New Roman"/>
          <w:noProof/>
          <w:sz w:val="24"/>
          <w:szCs w:val="24"/>
        </w:rPr>
        <w:drawing>
          <wp:inline distT="0" distB="0" distL="0" distR="0" wp14:anchorId="138530EB" wp14:editId="77B2676F">
            <wp:extent cx="5267325" cy="3276600"/>
            <wp:effectExtent l="0" t="0" r="9525" b="1905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E6802" w:rsidRPr="0007237D" w:rsidRDefault="0007237D" w:rsidP="0007237D">
      <w:pPr>
        <w:jc w:val="both"/>
        <w:rPr>
          <w:rFonts w:ascii="Times New Roman" w:hAnsi="Times New Roman" w:cs="Times New Roman"/>
          <w:sz w:val="24"/>
          <w:szCs w:val="24"/>
        </w:rPr>
      </w:pPr>
      <w:r w:rsidRPr="0007237D">
        <w:rPr>
          <w:rFonts w:ascii="Times New Roman" w:hAnsi="Times New Roman" w:cs="Times New Roman"/>
          <w:b/>
          <w:sz w:val="24"/>
          <w:szCs w:val="24"/>
        </w:rPr>
        <w:t xml:space="preserve">Fig 6: </w:t>
      </w:r>
      <w:r w:rsidR="00046473" w:rsidRPr="0007237D">
        <w:rPr>
          <w:rFonts w:ascii="Times New Roman" w:hAnsi="Times New Roman" w:cs="Times New Roman"/>
          <w:b/>
          <w:sz w:val="24"/>
          <w:szCs w:val="24"/>
        </w:rPr>
        <w:t>Unbanked households categorized by age in 2009 and 2011</w:t>
      </w:r>
      <w:r w:rsidR="004E6802" w:rsidRPr="0007237D">
        <w:rPr>
          <w:rFonts w:ascii="Times New Roman" w:hAnsi="Times New Roman" w:cs="Times New Roman"/>
          <w:noProof/>
          <w:sz w:val="24"/>
          <w:szCs w:val="24"/>
        </w:rPr>
        <w:drawing>
          <wp:inline distT="0" distB="0" distL="0" distR="0" wp14:anchorId="1236F2C8" wp14:editId="610C93E2">
            <wp:extent cx="5181600" cy="3762375"/>
            <wp:effectExtent l="0" t="0" r="19050" b="9525"/>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E8121F" w:rsidRPr="0007237D" w:rsidRDefault="00E8121F" w:rsidP="0007237D">
      <w:pPr>
        <w:jc w:val="both"/>
        <w:rPr>
          <w:rFonts w:ascii="Times New Roman" w:hAnsi="Times New Roman" w:cs="Times New Roman"/>
          <w:b/>
          <w:sz w:val="24"/>
          <w:szCs w:val="24"/>
        </w:rPr>
      </w:pPr>
      <w:r w:rsidRPr="0007237D">
        <w:rPr>
          <w:rFonts w:ascii="Times New Roman" w:hAnsi="Times New Roman" w:cs="Times New Roman"/>
          <w:b/>
          <w:sz w:val="24"/>
          <w:szCs w:val="24"/>
        </w:rPr>
        <w:lastRenderedPageBreak/>
        <w:t xml:space="preserve">Fig </w:t>
      </w:r>
      <w:r w:rsidR="0007237D" w:rsidRPr="0007237D">
        <w:rPr>
          <w:rFonts w:ascii="Times New Roman" w:hAnsi="Times New Roman" w:cs="Times New Roman"/>
          <w:b/>
          <w:sz w:val="24"/>
          <w:szCs w:val="24"/>
        </w:rPr>
        <w:t>7</w:t>
      </w:r>
      <w:r w:rsidRPr="0007237D">
        <w:rPr>
          <w:rFonts w:ascii="Times New Roman" w:hAnsi="Times New Roman" w:cs="Times New Roman"/>
          <w:b/>
          <w:sz w:val="24"/>
          <w:szCs w:val="24"/>
        </w:rPr>
        <w:t>: Unbanked households categorized by Income in 2009 and 2011</w:t>
      </w:r>
    </w:p>
    <w:p w:rsidR="004E6802" w:rsidRPr="0007237D" w:rsidRDefault="004E6802" w:rsidP="0007237D">
      <w:pPr>
        <w:jc w:val="both"/>
        <w:rPr>
          <w:rFonts w:ascii="Times New Roman" w:hAnsi="Times New Roman" w:cs="Times New Roman"/>
          <w:sz w:val="24"/>
          <w:szCs w:val="24"/>
        </w:rPr>
      </w:pPr>
      <w:r w:rsidRPr="0007237D">
        <w:rPr>
          <w:rFonts w:ascii="Times New Roman" w:hAnsi="Times New Roman" w:cs="Times New Roman"/>
          <w:noProof/>
          <w:sz w:val="24"/>
          <w:szCs w:val="24"/>
        </w:rPr>
        <w:drawing>
          <wp:inline distT="0" distB="0" distL="0" distR="0" wp14:anchorId="3A922BE7" wp14:editId="14AB1EDA">
            <wp:extent cx="5114925" cy="2762250"/>
            <wp:effectExtent l="0" t="0" r="9525" b="1905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5777AF" w:rsidRPr="0007237D" w:rsidRDefault="005777AF" w:rsidP="0007237D">
      <w:pPr>
        <w:jc w:val="both"/>
        <w:rPr>
          <w:rFonts w:ascii="Times New Roman" w:hAnsi="Times New Roman" w:cs="Times New Roman"/>
          <w:b/>
          <w:sz w:val="24"/>
          <w:szCs w:val="24"/>
        </w:rPr>
      </w:pPr>
      <w:r w:rsidRPr="0007237D">
        <w:rPr>
          <w:rFonts w:ascii="Times New Roman" w:hAnsi="Times New Roman" w:cs="Times New Roman"/>
          <w:b/>
          <w:sz w:val="24"/>
          <w:szCs w:val="24"/>
        </w:rPr>
        <w:t xml:space="preserve">Fig </w:t>
      </w:r>
      <w:r w:rsidR="0007237D" w:rsidRPr="0007237D">
        <w:rPr>
          <w:rFonts w:ascii="Times New Roman" w:hAnsi="Times New Roman" w:cs="Times New Roman"/>
          <w:b/>
          <w:sz w:val="24"/>
          <w:szCs w:val="24"/>
        </w:rPr>
        <w:t>8</w:t>
      </w:r>
      <w:r w:rsidRPr="0007237D">
        <w:rPr>
          <w:rFonts w:ascii="Times New Roman" w:hAnsi="Times New Roman" w:cs="Times New Roman"/>
          <w:b/>
          <w:sz w:val="24"/>
          <w:szCs w:val="24"/>
        </w:rPr>
        <w:t>: Unbanked households categorized by Household Type in 2009 and 2011</w:t>
      </w:r>
    </w:p>
    <w:p w:rsidR="004E6802" w:rsidRPr="0007237D" w:rsidRDefault="004E6802" w:rsidP="0007237D">
      <w:pPr>
        <w:jc w:val="both"/>
        <w:rPr>
          <w:rFonts w:ascii="Times New Roman" w:hAnsi="Times New Roman" w:cs="Times New Roman"/>
          <w:sz w:val="24"/>
          <w:szCs w:val="24"/>
        </w:rPr>
      </w:pPr>
      <w:r w:rsidRPr="0007237D">
        <w:rPr>
          <w:rFonts w:ascii="Times New Roman" w:hAnsi="Times New Roman" w:cs="Times New Roman"/>
          <w:noProof/>
          <w:sz w:val="24"/>
          <w:szCs w:val="24"/>
        </w:rPr>
        <w:drawing>
          <wp:inline distT="0" distB="0" distL="0" distR="0" wp14:anchorId="03CB542F" wp14:editId="2A695163">
            <wp:extent cx="5076825" cy="3829050"/>
            <wp:effectExtent l="0" t="0" r="9525" b="1905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C56FB6" w:rsidRPr="0007237D" w:rsidRDefault="00C56FB6" w:rsidP="0007237D">
      <w:pPr>
        <w:jc w:val="both"/>
        <w:rPr>
          <w:rFonts w:ascii="Times New Roman" w:hAnsi="Times New Roman" w:cs="Times New Roman"/>
          <w:b/>
          <w:sz w:val="24"/>
          <w:szCs w:val="24"/>
        </w:rPr>
      </w:pPr>
      <w:r w:rsidRPr="0007237D">
        <w:rPr>
          <w:rFonts w:ascii="Times New Roman" w:hAnsi="Times New Roman" w:cs="Times New Roman"/>
          <w:b/>
          <w:sz w:val="24"/>
          <w:szCs w:val="24"/>
        </w:rPr>
        <w:lastRenderedPageBreak/>
        <w:t xml:space="preserve">Fig </w:t>
      </w:r>
      <w:r w:rsidR="0007237D" w:rsidRPr="0007237D">
        <w:rPr>
          <w:rFonts w:ascii="Times New Roman" w:hAnsi="Times New Roman" w:cs="Times New Roman"/>
          <w:b/>
          <w:sz w:val="24"/>
          <w:szCs w:val="24"/>
        </w:rPr>
        <w:t>9</w:t>
      </w:r>
      <w:r w:rsidRPr="0007237D">
        <w:rPr>
          <w:rFonts w:ascii="Times New Roman" w:hAnsi="Times New Roman" w:cs="Times New Roman"/>
          <w:b/>
          <w:sz w:val="24"/>
          <w:szCs w:val="24"/>
        </w:rPr>
        <w:t>: Unbanked households categorized by Education in 2009 and 2011</w:t>
      </w:r>
    </w:p>
    <w:p w:rsidR="004E6802" w:rsidRPr="0007237D" w:rsidRDefault="004E6802" w:rsidP="0007237D">
      <w:pPr>
        <w:jc w:val="both"/>
        <w:rPr>
          <w:rFonts w:ascii="Times New Roman" w:hAnsi="Times New Roman" w:cs="Times New Roman"/>
          <w:sz w:val="24"/>
          <w:szCs w:val="24"/>
        </w:rPr>
      </w:pPr>
      <w:r w:rsidRPr="0007237D">
        <w:rPr>
          <w:rFonts w:ascii="Times New Roman" w:hAnsi="Times New Roman" w:cs="Times New Roman"/>
          <w:noProof/>
          <w:sz w:val="24"/>
          <w:szCs w:val="24"/>
        </w:rPr>
        <w:drawing>
          <wp:inline distT="0" distB="0" distL="0" distR="0" wp14:anchorId="2564134A" wp14:editId="0B44CCF0">
            <wp:extent cx="5391150" cy="3048000"/>
            <wp:effectExtent l="0" t="0" r="19050" b="1905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C56FB6" w:rsidRPr="0007237D" w:rsidRDefault="00C56FB6" w:rsidP="0007237D">
      <w:pPr>
        <w:jc w:val="both"/>
        <w:rPr>
          <w:rFonts w:ascii="Times New Roman" w:hAnsi="Times New Roman" w:cs="Times New Roman"/>
          <w:b/>
          <w:sz w:val="24"/>
          <w:szCs w:val="24"/>
        </w:rPr>
      </w:pPr>
      <w:r w:rsidRPr="0007237D">
        <w:rPr>
          <w:rFonts w:ascii="Times New Roman" w:hAnsi="Times New Roman" w:cs="Times New Roman"/>
          <w:b/>
          <w:sz w:val="24"/>
          <w:szCs w:val="24"/>
        </w:rPr>
        <w:t xml:space="preserve">Fig </w:t>
      </w:r>
      <w:r w:rsidR="0007237D" w:rsidRPr="0007237D">
        <w:rPr>
          <w:rFonts w:ascii="Times New Roman" w:hAnsi="Times New Roman" w:cs="Times New Roman"/>
          <w:b/>
          <w:sz w:val="24"/>
          <w:szCs w:val="24"/>
        </w:rPr>
        <w:t>10</w:t>
      </w:r>
      <w:r w:rsidRPr="0007237D">
        <w:rPr>
          <w:rFonts w:ascii="Times New Roman" w:hAnsi="Times New Roman" w:cs="Times New Roman"/>
          <w:b/>
          <w:sz w:val="24"/>
          <w:szCs w:val="24"/>
        </w:rPr>
        <w:t>: Unbanked households categorized by Employment Status in 2009 and 2011</w:t>
      </w:r>
    </w:p>
    <w:p w:rsidR="00D417AE" w:rsidRPr="0007237D" w:rsidRDefault="00881309" w:rsidP="0007237D">
      <w:pPr>
        <w:jc w:val="both"/>
        <w:rPr>
          <w:rFonts w:ascii="Times New Roman" w:hAnsi="Times New Roman" w:cs="Times New Roman"/>
          <w:sz w:val="24"/>
          <w:szCs w:val="24"/>
        </w:rPr>
      </w:pPr>
      <w:r w:rsidRPr="0007237D">
        <w:rPr>
          <w:rFonts w:ascii="Times New Roman" w:hAnsi="Times New Roman" w:cs="Times New Roman"/>
          <w:noProof/>
          <w:sz w:val="24"/>
          <w:szCs w:val="24"/>
        </w:rPr>
        <w:drawing>
          <wp:inline distT="0" distB="0" distL="0" distR="0" wp14:anchorId="6976B880" wp14:editId="0A90F1E0">
            <wp:extent cx="5019675" cy="3676650"/>
            <wp:effectExtent l="0" t="0" r="9525" b="19050"/>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07237D" w:rsidRPr="0007237D" w:rsidRDefault="0007237D" w:rsidP="0007237D">
      <w:pPr>
        <w:spacing w:after="0"/>
        <w:jc w:val="center"/>
        <w:rPr>
          <w:rFonts w:ascii="Times New Roman" w:eastAsia="Times New Roman" w:hAnsi="Times New Roman" w:cs="Times New Roman"/>
          <w:sz w:val="24"/>
          <w:szCs w:val="24"/>
        </w:rPr>
      </w:pPr>
      <w:r w:rsidRPr="0007237D">
        <w:rPr>
          <w:rFonts w:ascii="Times New Roman" w:eastAsia="Times New Roman" w:hAnsi="Times New Roman" w:cs="Times New Roman"/>
          <w:b/>
          <w:bCs/>
          <w:sz w:val="24"/>
          <w:szCs w:val="24"/>
        </w:rPr>
        <w:lastRenderedPageBreak/>
        <w:t>Conclusion</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The study concludes that check cashing has mainly been practiced by low-income earners who are unbanked and have no plan to open a bank account in the future. It is unreasonable for most of the residents to participate in formal banking services for it is more expensive to them since the financial institutions are remotely located in areas where low-income earners are located. Most of the low-income earners include minority communities. The low-income earners have been closely related together with low levels of education where these groups fall victim. </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Low financial services are more acute on individuals such as domestic workers including shop assistants and hairdressers. These findings also match the category of people with a low educational background even though it is worth noting that low educational background alone is sufficient to explain the lack of financial services. On the other hand, individuals with professions and holds a university degree have access to banking services. </w:t>
      </w:r>
    </w:p>
    <w:p w:rsid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Consumer involvement in the financial markets will create wealth for participants, build assets, and reduce discriminatory and theft practices in the lending process. It will also promote economic stability and strengthen most of these communities. With greater understanding, policies such as DCIA of 1996 that was implemented streamline the financial market of the country.</w:t>
      </w:r>
    </w:p>
    <w:p w:rsidR="0007237D" w:rsidRPr="0007237D" w:rsidRDefault="0007237D" w:rsidP="0007237D">
      <w:pPr>
        <w:spacing w:after="0"/>
        <w:ind w:firstLine="720"/>
        <w:jc w:val="center"/>
        <w:rPr>
          <w:rFonts w:ascii="Times New Roman" w:eastAsia="Times New Roman" w:hAnsi="Times New Roman" w:cs="Times New Roman"/>
          <w:sz w:val="24"/>
          <w:szCs w:val="24"/>
        </w:rPr>
      </w:pPr>
    </w:p>
    <w:p w:rsidR="0007237D" w:rsidRPr="0007237D" w:rsidRDefault="0007237D" w:rsidP="0007237D">
      <w:pPr>
        <w:spacing w:after="0"/>
        <w:jc w:val="center"/>
        <w:rPr>
          <w:rFonts w:ascii="Times New Roman" w:eastAsia="Times New Roman" w:hAnsi="Times New Roman" w:cs="Times New Roman"/>
          <w:sz w:val="24"/>
          <w:szCs w:val="24"/>
        </w:rPr>
      </w:pPr>
      <w:r w:rsidRPr="0007237D">
        <w:rPr>
          <w:rFonts w:ascii="Times New Roman" w:eastAsia="Times New Roman" w:hAnsi="Times New Roman" w:cs="Times New Roman"/>
          <w:b/>
          <w:bCs/>
          <w:sz w:val="24"/>
          <w:szCs w:val="24"/>
        </w:rPr>
        <w:t>Policy Recommendations</w:t>
      </w:r>
    </w:p>
    <w:p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 xml:space="preserve">The literature findings show the financial organization of the US recognizes the need to get engaged with the unbanked ethnic minority communities including the immigrants. </w:t>
      </w:r>
      <w:r>
        <w:rPr>
          <w:rFonts w:ascii="Times New Roman" w:eastAsia="Times New Roman" w:hAnsi="Times New Roman" w:cs="Times New Roman"/>
          <w:sz w:val="24"/>
          <w:szCs w:val="24"/>
        </w:rPr>
        <w:t>T</w:t>
      </w:r>
      <w:r w:rsidRPr="0007237D">
        <w:rPr>
          <w:rFonts w:ascii="Times New Roman" w:eastAsia="Times New Roman" w:hAnsi="Times New Roman" w:cs="Times New Roman"/>
          <w:sz w:val="24"/>
          <w:szCs w:val="24"/>
        </w:rPr>
        <w:t xml:space="preserve">herefore, to promote a cultural heritage for all, community-based organizations, credit unions, </w:t>
      </w:r>
      <w:r w:rsidRPr="0007237D">
        <w:rPr>
          <w:rFonts w:ascii="Times New Roman" w:eastAsia="Times New Roman" w:hAnsi="Times New Roman" w:cs="Times New Roman"/>
          <w:sz w:val="24"/>
          <w:szCs w:val="24"/>
        </w:rPr>
        <w:lastRenderedPageBreak/>
        <w:t>and banks should come up with products that attract and accommodate these customers that will ensure that they maintain their linkage of cultural practices and their country of origin.</w:t>
      </w:r>
    </w:p>
    <w:p w:rsidR="0007237D" w:rsidRPr="0007237D" w:rsidRDefault="0007237D" w:rsidP="0007237D">
      <w:pPr>
        <w:spacing w:after="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The survey in this study suggests some policies to the financial institutions, policymakers, and other stakeholders whose objective is to improve the financial services in the US.</w:t>
      </w:r>
    </w:p>
    <w:p w:rsidR="0007237D" w:rsidRPr="0007237D" w:rsidRDefault="0007237D" w:rsidP="0007237D">
      <w:pPr>
        <w:numPr>
          <w:ilvl w:val="0"/>
          <w:numId w:val="6"/>
        </w:numPr>
        <w:spacing w:after="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A great understanding of the different segmentation of the under banked and unbanked populations will improve the economy. Different people in various communities amongst the under banked and the unbanked groups have different demand levels of financial services. By understanding each of them, will help to come up with products that are most effective for these groups. Most under banked and unbanked households face most economic distress such as unemployment. With this understanding, it would be easy to work together with the public sectors, private sectors, and the financial institution as they serve their obligation the result would provide social service agencies and employers.</w:t>
      </w:r>
    </w:p>
    <w:p w:rsidR="0007237D" w:rsidRPr="0007237D" w:rsidRDefault="0007237D" w:rsidP="0007237D">
      <w:pPr>
        <w:numPr>
          <w:ilvl w:val="0"/>
          <w:numId w:val="6"/>
        </w:numPr>
        <w:spacing w:after="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Opening a bank account is not a guarantee it will run till long-term. Most households get in and out of the banking system depended on the circumstance at hand. For example, about half of the unbanked households had once opened an account, and once it was difficult to run and maintain one, they are unlikely to be in the banking group ever again. Therefore, the financial efforts should not only include fetching the unbanked into banking but also should work in maintaining the banked group. This can be possible by offering low charges for deposits and very minimal maintenance charges with transparent terms and conditions.</w:t>
      </w:r>
    </w:p>
    <w:p w:rsidR="0007237D" w:rsidRPr="0007237D" w:rsidRDefault="0007237D" w:rsidP="0007237D">
      <w:pPr>
        <w:numPr>
          <w:ilvl w:val="0"/>
          <w:numId w:val="6"/>
        </w:numPr>
        <w:spacing w:after="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Unbanked households that have had an account previously are likely to have positive perceptions of having a bank account as compared to the households who have no such experience. </w:t>
      </w:r>
    </w:p>
    <w:p w:rsidR="0007237D" w:rsidRPr="0007237D" w:rsidRDefault="0007237D" w:rsidP="0007237D">
      <w:pPr>
        <w:numPr>
          <w:ilvl w:val="0"/>
          <w:numId w:val="6"/>
        </w:numPr>
        <w:spacing w:after="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lastRenderedPageBreak/>
        <w:t>The financial institutions in the market will be required to make their products faster, more convenient, and include low qualifications for opening a bank account. The financial sector can introduce mobile technology to fasten transactions and increase convenience. </w:t>
      </w: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p>
    <w:p w:rsidR="0007237D" w:rsidRPr="0007237D" w:rsidRDefault="0007237D" w:rsidP="0007237D">
      <w:pPr>
        <w:spacing w:after="0"/>
        <w:jc w:val="both"/>
        <w:rPr>
          <w:rFonts w:ascii="Times New Roman" w:eastAsia="Times New Roman" w:hAnsi="Times New Roman" w:cs="Times New Roman"/>
          <w:sz w:val="24"/>
          <w:szCs w:val="24"/>
        </w:rPr>
      </w:pPr>
      <w:bookmarkStart w:id="0" w:name="_GoBack"/>
      <w:bookmarkEnd w:id="0"/>
    </w:p>
    <w:p w:rsidR="00DC0C76" w:rsidRPr="0007237D" w:rsidRDefault="00DC0C76" w:rsidP="0007237D">
      <w:pPr>
        <w:jc w:val="both"/>
        <w:rPr>
          <w:rFonts w:ascii="Times New Roman" w:hAnsi="Times New Roman" w:cs="Times New Roman"/>
          <w:b/>
          <w:sz w:val="24"/>
          <w:szCs w:val="24"/>
        </w:rPr>
      </w:pPr>
      <w:r w:rsidRPr="0007237D">
        <w:rPr>
          <w:rFonts w:ascii="Times New Roman" w:hAnsi="Times New Roman" w:cs="Times New Roman"/>
          <w:b/>
          <w:sz w:val="24"/>
          <w:szCs w:val="24"/>
        </w:rPr>
        <w:lastRenderedPageBreak/>
        <w:t>References</w:t>
      </w:r>
    </w:p>
    <w:p w:rsidR="0007237D" w:rsidRPr="0007237D" w:rsidRDefault="0007237D" w:rsidP="0007237D">
      <w:pPr>
        <w:jc w:val="both"/>
        <w:rPr>
          <w:rFonts w:ascii="Times New Roman" w:hAnsi="Times New Roman" w:cs="Times New Roman"/>
          <w:sz w:val="24"/>
          <w:szCs w:val="24"/>
        </w:rPr>
      </w:pPr>
    </w:p>
    <w:p w:rsidR="0007237D" w:rsidRPr="0007237D" w:rsidRDefault="0007237D" w:rsidP="000723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07237D">
        <w:rPr>
          <w:rFonts w:ascii="Times New Roman" w:hAnsi="Times New Roman" w:cs="Times New Roman"/>
          <w:sz w:val="24"/>
          <w:szCs w:val="24"/>
          <w:lang w:val="en"/>
        </w:rPr>
        <w:t>Bos, M., Carter, S., &amp; Skiba, P. M. (2012). The pawn industry and its customers: The united states and europe. Vanderbilt Law and Economics Research Paper, (12-26).</w:t>
      </w:r>
    </w:p>
    <w:p w:rsidR="0007237D" w:rsidRPr="0007237D" w:rsidRDefault="0007237D" w:rsidP="000723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07237D">
        <w:rPr>
          <w:rFonts w:ascii="Times New Roman" w:hAnsi="Times New Roman" w:cs="Times New Roman"/>
          <w:sz w:val="24"/>
          <w:szCs w:val="24"/>
          <w:lang w:val="en"/>
        </w:rPr>
        <w:t>Burhouse, S., &amp; Osaki, Y. (2012). 2011 FDIC National survey of unbanked and underbanked households. US Federal Deposit Insurance Corporation, September.</w:t>
      </w:r>
    </w:p>
    <w:p w:rsidR="0007237D" w:rsidRPr="0007237D" w:rsidRDefault="0007237D" w:rsidP="000723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07237D">
        <w:rPr>
          <w:rFonts w:ascii="Times New Roman" w:hAnsi="Times New Roman" w:cs="Times New Roman"/>
          <w:sz w:val="24"/>
          <w:szCs w:val="24"/>
          <w:lang w:val="en"/>
        </w:rPr>
        <w:t>Burkey, M. L., &amp; Simkins, S. P. (2004). Factors affecting the location of payday lending and traditional banking services in North Carolina.</w:t>
      </w:r>
    </w:p>
    <w:p w:rsidR="0007237D" w:rsidRPr="0007237D" w:rsidRDefault="0007237D" w:rsidP="000723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07237D">
        <w:rPr>
          <w:rFonts w:ascii="Times New Roman" w:hAnsi="Times New Roman" w:cs="Times New Roman"/>
          <w:sz w:val="24"/>
          <w:szCs w:val="24"/>
          <w:lang w:val="en"/>
        </w:rPr>
        <w:t>Caskey, J. P. (1994). Fringe banking: Check-cashing outlets, pawnshops, and the poor. Russell Sage Foundation.</w:t>
      </w:r>
    </w:p>
    <w:p w:rsidR="0007237D" w:rsidRPr="0007237D" w:rsidRDefault="0007237D" w:rsidP="000723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07237D">
        <w:rPr>
          <w:rFonts w:ascii="Times New Roman" w:hAnsi="Times New Roman" w:cs="Times New Roman"/>
          <w:sz w:val="24"/>
          <w:szCs w:val="24"/>
          <w:shd w:val="clear" w:color="auto" w:fill="FFFFFF"/>
        </w:rPr>
        <w:t>Klawitter, M., &amp; Fletschner, D. (2006). Banked or Unbanked? Individual and family access to savings and checking accounts.</w:t>
      </w:r>
      <w:r w:rsidRPr="0007237D">
        <w:rPr>
          <w:rStyle w:val="apple-converted-space"/>
          <w:rFonts w:ascii="Times New Roman" w:hAnsi="Times New Roman" w:cs="Times New Roman"/>
          <w:sz w:val="24"/>
          <w:szCs w:val="24"/>
          <w:shd w:val="clear" w:color="auto" w:fill="FFFFFF"/>
        </w:rPr>
        <w:t> </w:t>
      </w:r>
      <w:r w:rsidRPr="0007237D">
        <w:rPr>
          <w:rFonts w:ascii="Times New Roman" w:hAnsi="Times New Roman" w:cs="Times New Roman"/>
          <w:i/>
          <w:iCs/>
          <w:sz w:val="24"/>
          <w:szCs w:val="24"/>
          <w:shd w:val="clear" w:color="auto" w:fill="FFFFFF"/>
        </w:rPr>
        <w:t>Daniel J. Evans School of Public Affairs Working Paper</w:t>
      </w:r>
      <w:r w:rsidRPr="0007237D">
        <w:rPr>
          <w:rFonts w:ascii="Times New Roman" w:hAnsi="Times New Roman" w:cs="Times New Roman"/>
          <w:sz w:val="24"/>
          <w:szCs w:val="24"/>
          <w:shd w:val="clear" w:color="auto" w:fill="FFFFFF"/>
        </w:rPr>
        <w:t>,</w:t>
      </w:r>
      <w:r w:rsidRPr="0007237D">
        <w:rPr>
          <w:rStyle w:val="apple-converted-space"/>
          <w:rFonts w:ascii="Times New Roman" w:hAnsi="Times New Roman" w:cs="Times New Roman"/>
          <w:sz w:val="24"/>
          <w:szCs w:val="24"/>
          <w:shd w:val="clear" w:color="auto" w:fill="FFFFFF"/>
        </w:rPr>
        <w:t> </w:t>
      </w:r>
      <w:r w:rsidRPr="0007237D">
        <w:rPr>
          <w:rFonts w:ascii="Times New Roman" w:hAnsi="Times New Roman" w:cs="Times New Roman"/>
          <w:i/>
          <w:iCs/>
          <w:sz w:val="24"/>
          <w:szCs w:val="24"/>
          <w:shd w:val="clear" w:color="auto" w:fill="FFFFFF"/>
        </w:rPr>
        <w:t>16</w:t>
      </w:r>
      <w:r w:rsidRPr="0007237D">
        <w:rPr>
          <w:rFonts w:ascii="Times New Roman" w:hAnsi="Times New Roman" w:cs="Times New Roman"/>
          <w:sz w:val="24"/>
          <w:szCs w:val="24"/>
          <w:shd w:val="clear" w:color="auto" w:fill="FFFFFF"/>
        </w:rPr>
        <w:t>.</w:t>
      </w:r>
    </w:p>
    <w:p w:rsidR="0007237D" w:rsidRPr="0007237D" w:rsidRDefault="0007237D" w:rsidP="000723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rPr>
      </w:pPr>
      <w:r w:rsidRPr="0007237D">
        <w:rPr>
          <w:rFonts w:ascii="Times New Roman" w:hAnsi="Times New Roman" w:cs="Times New Roman"/>
          <w:sz w:val="24"/>
          <w:szCs w:val="24"/>
          <w:lang w:val="en"/>
        </w:rPr>
        <w:t>Pew Health Group. (2010). Unbanked by choice: A look at how low-income Los Angeles households manage the money they earn (Report).</w:t>
      </w:r>
      <w:r w:rsidRPr="0007237D">
        <w:rPr>
          <w:rFonts w:ascii="Times New Roman" w:hAnsi="Times New Roman" w:cs="Times New Roman"/>
          <w:sz w:val="24"/>
          <w:szCs w:val="24"/>
        </w:rPr>
        <w:t xml:space="preserve"> </w:t>
      </w:r>
    </w:p>
    <w:p w:rsidR="0007237D" w:rsidRPr="0007237D" w:rsidRDefault="0007237D" w:rsidP="000723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07237D">
        <w:rPr>
          <w:rFonts w:ascii="Times New Roman" w:hAnsi="Times New Roman" w:cs="Times New Roman"/>
          <w:sz w:val="24"/>
          <w:szCs w:val="24"/>
          <w:lang w:val="en"/>
        </w:rPr>
        <w:t>Prager, R. A. (2009). Determinants of the locations of payday lenders, pawnshops and check-cashing outlets. Washington, DC: Federal Reserve Board.</w:t>
      </w:r>
    </w:p>
    <w:p w:rsidR="0007237D" w:rsidRPr="0007237D" w:rsidRDefault="0007237D" w:rsidP="000723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07237D">
        <w:rPr>
          <w:rFonts w:ascii="Times New Roman" w:hAnsi="Times New Roman" w:cs="Times New Roman"/>
          <w:sz w:val="24"/>
          <w:szCs w:val="24"/>
          <w:lang w:val="en"/>
        </w:rPr>
        <w:t>Shackman, J. D., &amp; Tenney, G. (2006). The Effects of Government Regulations on the Supply of Pawn Loans: evidence from 51 Jurisdictions in the US. Journal of Financial Services Research, 30(1), 69-91.</w:t>
      </w:r>
    </w:p>
    <w:sectPr w:rsidR="0007237D" w:rsidRPr="0007237D" w:rsidSect="0007237D">
      <w:headerReference w:type="default" r:id="rId19"/>
      <w:head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2663" w:rsidRDefault="00862663" w:rsidP="0007237D">
      <w:pPr>
        <w:spacing w:after="0" w:line="240" w:lineRule="auto"/>
      </w:pPr>
      <w:r>
        <w:separator/>
      </w:r>
    </w:p>
  </w:endnote>
  <w:endnote w:type="continuationSeparator" w:id="0">
    <w:p w:rsidR="00862663" w:rsidRDefault="00862663" w:rsidP="000723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2663" w:rsidRDefault="00862663" w:rsidP="0007237D">
      <w:pPr>
        <w:spacing w:after="0" w:line="240" w:lineRule="auto"/>
      </w:pPr>
      <w:r>
        <w:separator/>
      </w:r>
    </w:p>
  </w:footnote>
  <w:footnote w:type="continuationSeparator" w:id="0">
    <w:p w:rsidR="00862663" w:rsidRDefault="00862663" w:rsidP="000723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13582414"/>
      <w:docPartObj>
        <w:docPartGallery w:val="Page Numbers (Top of Page)"/>
        <w:docPartUnique/>
      </w:docPartObj>
    </w:sdtPr>
    <w:sdtEndPr>
      <w:rPr>
        <w:noProof/>
      </w:rPr>
    </w:sdtEndPr>
    <w:sdtContent>
      <w:p w:rsidR="0007237D" w:rsidRPr="0007237D" w:rsidRDefault="0007237D" w:rsidP="0007237D">
        <w:pPr>
          <w:pStyle w:val="Header"/>
          <w:rPr>
            <w:rFonts w:ascii="Times New Roman" w:hAnsi="Times New Roman" w:cs="Times New Roman"/>
            <w:sz w:val="24"/>
            <w:szCs w:val="24"/>
          </w:rPr>
        </w:pPr>
        <w:r w:rsidRPr="0007237D">
          <w:rPr>
            <w:rFonts w:ascii="Times New Roman" w:eastAsia="Times New Roman" w:hAnsi="Times New Roman" w:cs="Times New Roman"/>
            <w:bCs/>
            <w:color w:val="0E101A"/>
            <w:sz w:val="24"/>
            <w:szCs w:val="24"/>
          </w:rPr>
          <w:t>Why Are There So Many Check Cashing In Minority Community in US</w:t>
        </w:r>
        <w:r w:rsidRPr="0007237D">
          <w:rPr>
            <w:rFonts w:ascii="Times New Roman" w:eastAsia="Times New Roman" w:hAnsi="Times New Roman" w:cs="Times New Roman"/>
            <w:bCs/>
            <w:color w:val="0E101A"/>
            <w:sz w:val="24"/>
            <w:szCs w:val="24"/>
          </w:rPr>
          <w:t xml:space="preserve"> </w:t>
        </w:r>
        <w:r w:rsidRPr="0007237D">
          <w:rPr>
            <w:rFonts w:ascii="Times New Roman" w:eastAsia="Times New Roman" w:hAnsi="Times New Roman" w:cs="Times New Roman"/>
            <w:bCs/>
            <w:color w:val="0E101A"/>
            <w:sz w:val="24"/>
            <w:szCs w:val="24"/>
          </w:rPr>
          <w:tab/>
          <w:t xml:space="preserve">        </w:t>
        </w:r>
        <w:r w:rsidRPr="0007237D">
          <w:rPr>
            <w:rFonts w:ascii="Times New Roman" w:eastAsia="Times New Roman" w:hAnsi="Times New Roman" w:cs="Times New Roman"/>
            <w:bCs/>
            <w:color w:val="0E101A"/>
            <w:sz w:val="24"/>
            <w:szCs w:val="24"/>
          </w:rPr>
          <w:t xml:space="preserve"> </w:t>
        </w:r>
        <w:r w:rsidRPr="0007237D">
          <w:rPr>
            <w:rFonts w:ascii="Times New Roman" w:hAnsi="Times New Roman" w:cs="Times New Roman"/>
            <w:sz w:val="24"/>
            <w:szCs w:val="24"/>
          </w:rPr>
          <w:fldChar w:fldCharType="begin"/>
        </w:r>
        <w:r w:rsidRPr="0007237D">
          <w:rPr>
            <w:rFonts w:ascii="Times New Roman" w:hAnsi="Times New Roman" w:cs="Times New Roman"/>
            <w:sz w:val="24"/>
            <w:szCs w:val="24"/>
          </w:rPr>
          <w:instrText xml:space="preserve"> PAGE   \* MERGEFORMAT </w:instrText>
        </w:r>
        <w:r w:rsidRPr="0007237D">
          <w:rPr>
            <w:rFonts w:ascii="Times New Roman" w:hAnsi="Times New Roman" w:cs="Times New Roman"/>
            <w:sz w:val="24"/>
            <w:szCs w:val="24"/>
          </w:rPr>
          <w:fldChar w:fldCharType="separate"/>
        </w:r>
        <w:r>
          <w:rPr>
            <w:rFonts w:ascii="Times New Roman" w:hAnsi="Times New Roman" w:cs="Times New Roman"/>
            <w:noProof/>
            <w:sz w:val="24"/>
            <w:szCs w:val="24"/>
          </w:rPr>
          <w:t>19</w:t>
        </w:r>
        <w:r w:rsidRPr="0007237D">
          <w:rPr>
            <w:rFonts w:ascii="Times New Roman" w:hAnsi="Times New Roman" w:cs="Times New Roman"/>
            <w:noProof/>
            <w:sz w:val="24"/>
            <w:szCs w:val="24"/>
          </w:rPr>
          <w:fldChar w:fldCharType="end"/>
        </w:r>
      </w:p>
    </w:sdtContent>
  </w:sdt>
  <w:p w:rsidR="0007237D" w:rsidRPr="0007237D" w:rsidRDefault="0007237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4960238"/>
      <w:docPartObj>
        <w:docPartGallery w:val="Page Numbers (Top of Page)"/>
        <w:docPartUnique/>
      </w:docPartObj>
    </w:sdtPr>
    <w:sdtEndPr>
      <w:rPr>
        <w:noProof/>
      </w:rPr>
    </w:sdtEndPr>
    <w:sdtContent>
      <w:sdt>
        <w:sdtPr>
          <w:rPr>
            <w:rFonts w:ascii="Times New Roman" w:hAnsi="Times New Roman" w:cs="Times New Roman"/>
            <w:sz w:val="24"/>
            <w:szCs w:val="24"/>
          </w:rPr>
          <w:id w:val="1680995127"/>
          <w:docPartObj>
            <w:docPartGallery w:val="Page Numbers (Top of Page)"/>
            <w:docPartUnique/>
          </w:docPartObj>
        </w:sdtPr>
        <w:sdtEndPr>
          <w:rPr>
            <w:noProof/>
          </w:rPr>
        </w:sdtEndPr>
        <w:sdtContent>
          <w:p w:rsidR="0007237D" w:rsidRPr="0007237D" w:rsidRDefault="0007237D" w:rsidP="0007237D">
            <w:pPr>
              <w:spacing w:after="0"/>
              <w:rPr>
                <w:rFonts w:ascii="Times New Roman" w:eastAsia="Times New Roman" w:hAnsi="Times New Roman" w:cs="Times New Roman"/>
                <w:bCs/>
                <w:color w:val="0E101A"/>
                <w:sz w:val="24"/>
                <w:szCs w:val="24"/>
              </w:rPr>
            </w:pPr>
            <w:r>
              <w:rPr>
                <w:rFonts w:ascii="Times New Roman" w:hAnsi="Times New Roman" w:cs="Times New Roman"/>
                <w:sz w:val="24"/>
                <w:szCs w:val="24"/>
              </w:rPr>
              <w:t>Running head:</w:t>
            </w:r>
            <w:r w:rsidRPr="0007237D">
              <w:rPr>
                <w:rFonts w:ascii="Times New Roman" w:eastAsia="Times New Roman" w:hAnsi="Times New Roman" w:cs="Times New Roman"/>
                <w:bCs/>
                <w:color w:val="0E101A"/>
                <w:sz w:val="24"/>
                <w:szCs w:val="24"/>
              </w:rPr>
              <w:t xml:space="preserve"> Why</w:t>
            </w:r>
            <w:r w:rsidRPr="0007237D">
              <w:rPr>
                <w:rFonts w:ascii="Times New Roman" w:eastAsia="Times New Roman" w:hAnsi="Times New Roman" w:cs="Times New Roman"/>
                <w:bCs/>
                <w:color w:val="0E101A"/>
                <w:sz w:val="24"/>
                <w:szCs w:val="24"/>
              </w:rPr>
              <w:t xml:space="preserve"> Are There So Many Check Cashing In Minority Community </w:t>
            </w:r>
            <w:r>
              <w:rPr>
                <w:rFonts w:ascii="Times New Roman" w:eastAsia="Times New Roman" w:hAnsi="Times New Roman" w:cs="Times New Roman"/>
                <w:bCs/>
                <w:color w:val="0E101A"/>
                <w:sz w:val="24"/>
                <w:szCs w:val="24"/>
              </w:rPr>
              <w:t>in US</w:t>
            </w:r>
            <w:r w:rsidRPr="0007237D">
              <w:rPr>
                <w:rFonts w:ascii="Times New Roman" w:eastAsia="Times New Roman" w:hAnsi="Times New Roman" w:cs="Times New Roman"/>
                <w:bCs/>
                <w:color w:val="0E101A"/>
                <w:sz w:val="24"/>
                <w:szCs w:val="24"/>
              </w:rPr>
              <w:t xml:space="preserve"> </w:t>
            </w:r>
            <w:r w:rsidRPr="0007237D">
              <w:rPr>
                <w:rFonts w:ascii="Times New Roman" w:eastAsia="Times New Roman" w:hAnsi="Times New Roman" w:cs="Times New Roman"/>
                <w:bCs/>
                <w:color w:val="0E101A"/>
                <w:sz w:val="24"/>
                <w:szCs w:val="24"/>
              </w:rPr>
              <w:tab/>
            </w:r>
            <w:r w:rsidRPr="0007237D">
              <w:rPr>
                <w:rFonts w:ascii="Times New Roman" w:eastAsia="Times New Roman" w:hAnsi="Times New Roman" w:cs="Times New Roman"/>
                <w:bCs/>
                <w:color w:val="0E101A"/>
                <w:sz w:val="24"/>
                <w:szCs w:val="24"/>
              </w:rPr>
              <w:tab/>
              <w:t xml:space="preserve">        </w:t>
            </w:r>
            <w:r>
              <w:rPr>
                <w:rFonts w:ascii="Times New Roman" w:eastAsia="Times New Roman" w:hAnsi="Times New Roman" w:cs="Times New Roman"/>
                <w:bCs/>
                <w:color w:val="0E101A"/>
                <w:sz w:val="24"/>
                <w:szCs w:val="24"/>
              </w:rPr>
              <w:t xml:space="preserve">            </w:t>
            </w:r>
            <w:r w:rsidRPr="0007237D">
              <w:rPr>
                <w:rFonts w:ascii="Times New Roman" w:eastAsia="Times New Roman" w:hAnsi="Times New Roman" w:cs="Times New Roman"/>
                <w:bCs/>
                <w:color w:val="0E101A"/>
                <w:sz w:val="24"/>
                <w:szCs w:val="24"/>
              </w:rPr>
              <w:t xml:space="preserve">  </w:t>
            </w:r>
          </w:p>
        </w:sdtContent>
      </w:sdt>
      <w:p w:rsidR="0007237D" w:rsidRPr="0007237D" w:rsidRDefault="0007237D" w:rsidP="0007237D">
        <w:pPr>
          <w:pStyle w:val="Header"/>
          <w:rPr>
            <w:rFonts w:ascii="Times New Roman" w:hAnsi="Times New Roman" w:cs="Times New Roman"/>
            <w:sz w:val="24"/>
            <w:szCs w:val="24"/>
          </w:rPr>
        </w:pPr>
      </w:p>
      <w:p w:rsidR="0007237D" w:rsidRDefault="0007237D">
        <w:pPr>
          <w:pStyle w:val="Header"/>
          <w:jc w:val="right"/>
        </w:pPr>
      </w:p>
    </w:sdtContent>
  </w:sdt>
  <w:p w:rsidR="0007237D" w:rsidRPr="0007237D" w:rsidRDefault="0007237D" w:rsidP="0007237D">
    <w:pPr>
      <w:spacing w:after="0"/>
      <w:rPr>
        <w:rFonts w:ascii="Times New Roman" w:eastAsia="Times New Roman" w:hAnsi="Times New Roman" w:cs="Times New Roman"/>
        <w:bCs/>
        <w:color w:val="0E101A"/>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A82125"/>
    <w:multiLevelType w:val="multilevel"/>
    <w:tmpl w:val="5FEA02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5852652"/>
    <w:multiLevelType w:val="hybridMultilevel"/>
    <w:tmpl w:val="3E48C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6106E9A"/>
    <w:multiLevelType w:val="hybridMultilevel"/>
    <w:tmpl w:val="EC6A2C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93E1DEF"/>
    <w:multiLevelType w:val="multilevel"/>
    <w:tmpl w:val="2AD49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9F45883"/>
    <w:multiLevelType w:val="multilevel"/>
    <w:tmpl w:val="CE124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CC55F18"/>
    <w:multiLevelType w:val="multilevel"/>
    <w:tmpl w:val="B908E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2"/>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EB5"/>
    <w:rsid w:val="000262CF"/>
    <w:rsid w:val="00046473"/>
    <w:rsid w:val="000714A5"/>
    <w:rsid w:val="0007237D"/>
    <w:rsid w:val="000B20D6"/>
    <w:rsid w:val="0012202D"/>
    <w:rsid w:val="00136727"/>
    <w:rsid w:val="00176B73"/>
    <w:rsid w:val="00184CC9"/>
    <w:rsid w:val="00272788"/>
    <w:rsid w:val="0027609E"/>
    <w:rsid w:val="002C1E2D"/>
    <w:rsid w:val="002E0105"/>
    <w:rsid w:val="00326E9D"/>
    <w:rsid w:val="003303BE"/>
    <w:rsid w:val="00394598"/>
    <w:rsid w:val="003A00B7"/>
    <w:rsid w:val="003E6B8C"/>
    <w:rsid w:val="003E708B"/>
    <w:rsid w:val="00424DF9"/>
    <w:rsid w:val="004318DE"/>
    <w:rsid w:val="0045333B"/>
    <w:rsid w:val="0048771D"/>
    <w:rsid w:val="004A51F9"/>
    <w:rsid w:val="004C318F"/>
    <w:rsid w:val="004D377D"/>
    <w:rsid w:val="004E6802"/>
    <w:rsid w:val="005416B5"/>
    <w:rsid w:val="005629B0"/>
    <w:rsid w:val="005777AF"/>
    <w:rsid w:val="005F16A9"/>
    <w:rsid w:val="00640FD8"/>
    <w:rsid w:val="00643C31"/>
    <w:rsid w:val="00685D4C"/>
    <w:rsid w:val="006E4E99"/>
    <w:rsid w:val="00717DC1"/>
    <w:rsid w:val="00724C93"/>
    <w:rsid w:val="007935AF"/>
    <w:rsid w:val="007E136B"/>
    <w:rsid w:val="00815EED"/>
    <w:rsid w:val="008366BE"/>
    <w:rsid w:val="00862663"/>
    <w:rsid w:val="00881309"/>
    <w:rsid w:val="008D6413"/>
    <w:rsid w:val="00901F78"/>
    <w:rsid w:val="009B551F"/>
    <w:rsid w:val="009B5D61"/>
    <w:rsid w:val="009D06EF"/>
    <w:rsid w:val="009D102F"/>
    <w:rsid w:val="009F0085"/>
    <w:rsid w:val="00A41D76"/>
    <w:rsid w:val="00A85C21"/>
    <w:rsid w:val="00AB3006"/>
    <w:rsid w:val="00AD4180"/>
    <w:rsid w:val="00AF2AB2"/>
    <w:rsid w:val="00B05AD6"/>
    <w:rsid w:val="00B65834"/>
    <w:rsid w:val="00C40B8C"/>
    <w:rsid w:val="00C55B09"/>
    <w:rsid w:val="00C56FB6"/>
    <w:rsid w:val="00C6319A"/>
    <w:rsid w:val="00C70ECB"/>
    <w:rsid w:val="00C91652"/>
    <w:rsid w:val="00C92B19"/>
    <w:rsid w:val="00CF6518"/>
    <w:rsid w:val="00D05391"/>
    <w:rsid w:val="00D05AAA"/>
    <w:rsid w:val="00D417AE"/>
    <w:rsid w:val="00D515FD"/>
    <w:rsid w:val="00D96C64"/>
    <w:rsid w:val="00DC0C76"/>
    <w:rsid w:val="00DC10DB"/>
    <w:rsid w:val="00DC48AC"/>
    <w:rsid w:val="00E00ED3"/>
    <w:rsid w:val="00E8121F"/>
    <w:rsid w:val="00ED4666"/>
    <w:rsid w:val="00F23EB5"/>
    <w:rsid w:val="00F479B4"/>
    <w:rsid w:val="00FB41F0"/>
    <w:rsid w:val="00FB6DF2"/>
    <w:rsid w:val="00FD22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D102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901F7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102F"/>
    <w:rPr>
      <w:rFonts w:ascii="Times New Roman" w:eastAsia="Times New Roman" w:hAnsi="Times New Roman" w:cs="Times New Roman"/>
      <w:b/>
      <w:bCs/>
      <w:kern w:val="36"/>
      <w:sz w:val="48"/>
      <w:szCs w:val="48"/>
    </w:rPr>
  </w:style>
  <w:style w:type="character" w:customStyle="1" w:styleId="listiclepage-authorby">
    <w:name w:val="listiclepage-authorby"/>
    <w:basedOn w:val="DefaultParagraphFont"/>
    <w:rsid w:val="009D102F"/>
  </w:style>
  <w:style w:type="character" w:styleId="Hyperlink">
    <w:name w:val="Hyperlink"/>
    <w:basedOn w:val="DefaultParagraphFont"/>
    <w:uiPriority w:val="99"/>
    <w:semiHidden/>
    <w:unhideWhenUsed/>
    <w:rsid w:val="009D102F"/>
    <w:rPr>
      <w:color w:val="0000FF"/>
      <w:u w:val="single"/>
    </w:rPr>
  </w:style>
  <w:style w:type="character" w:customStyle="1" w:styleId="listiclepage-datepublished">
    <w:name w:val="listiclepage-datepublished"/>
    <w:basedOn w:val="DefaultParagraphFont"/>
    <w:rsid w:val="009D102F"/>
  </w:style>
  <w:style w:type="paragraph" w:styleId="NormalWeb">
    <w:name w:val="Normal (Web)"/>
    <w:basedOn w:val="Normal"/>
    <w:uiPriority w:val="99"/>
    <w:semiHidden/>
    <w:unhideWhenUsed/>
    <w:rsid w:val="009D102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D10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102F"/>
    <w:rPr>
      <w:rFonts w:ascii="Tahoma" w:hAnsi="Tahoma" w:cs="Tahoma"/>
      <w:sz w:val="16"/>
      <w:szCs w:val="16"/>
    </w:rPr>
  </w:style>
  <w:style w:type="character" w:customStyle="1" w:styleId="credit--ctn">
    <w:name w:val="credit--ctn"/>
    <w:basedOn w:val="DefaultParagraphFont"/>
    <w:rsid w:val="009D102F"/>
  </w:style>
  <w:style w:type="character" w:styleId="Strong">
    <w:name w:val="Strong"/>
    <w:basedOn w:val="DefaultParagraphFont"/>
    <w:uiPriority w:val="22"/>
    <w:qFormat/>
    <w:rsid w:val="009D102F"/>
    <w:rPr>
      <w:b/>
      <w:bCs/>
    </w:rPr>
  </w:style>
  <w:style w:type="paragraph" w:customStyle="1" w:styleId="r-mb">
    <w:name w:val="r-mb"/>
    <w:basedOn w:val="Normal"/>
    <w:rsid w:val="009D10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mestamp">
    <w:name w:val="timestamp"/>
    <w:basedOn w:val="DefaultParagraphFont"/>
    <w:rsid w:val="009D102F"/>
  </w:style>
  <w:style w:type="character" w:customStyle="1" w:styleId="Heading2Char">
    <w:name w:val="Heading 2 Char"/>
    <w:basedOn w:val="DefaultParagraphFont"/>
    <w:link w:val="Heading2"/>
    <w:uiPriority w:val="9"/>
    <w:rsid w:val="00901F78"/>
    <w:rPr>
      <w:rFonts w:asciiTheme="majorHAnsi" w:eastAsiaTheme="majorEastAsia" w:hAnsiTheme="majorHAnsi" w:cstheme="majorBidi"/>
      <w:b/>
      <w:bCs/>
      <w:color w:val="4F81BD" w:themeColor="accent1"/>
      <w:sz w:val="26"/>
      <w:szCs w:val="26"/>
    </w:rPr>
  </w:style>
  <w:style w:type="character" w:customStyle="1" w:styleId="adthrive-video-text-cutoff">
    <w:name w:val="adthrive-video-text-cutoff"/>
    <w:basedOn w:val="DefaultParagraphFont"/>
    <w:rsid w:val="00901F78"/>
  </w:style>
  <w:style w:type="character" w:customStyle="1" w:styleId="jw-volume-update">
    <w:name w:val="jw-volume-update"/>
    <w:basedOn w:val="DefaultParagraphFont"/>
    <w:rsid w:val="00901F78"/>
  </w:style>
  <w:style w:type="paragraph" w:styleId="ListParagraph">
    <w:name w:val="List Paragraph"/>
    <w:basedOn w:val="Normal"/>
    <w:uiPriority w:val="34"/>
    <w:qFormat/>
    <w:rsid w:val="00394598"/>
    <w:pPr>
      <w:ind w:left="720"/>
      <w:contextualSpacing/>
    </w:pPr>
  </w:style>
  <w:style w:type="table" w:styleId="TableGrid">
    <w:name w:val="Table Grid"/>
    <w:basedOn w:val="TableNormal"/>
    <w:uiPriority w:val="59"/>
    <w:rsid w:val="00C916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5">
    <w:name w:val="Light List Accent 5"/>
    <w:basedOn w:val="TableNormal"/>
    <w:uiPriority w:val="61"/>
    <w:rsid w:val="00046473"/>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Emphasis">
    <w:name w:val="Emphasis"/>
    <w:basedOn w:val="DefaultParagraphFont"/>
    <w:uiPriority w:val="20"/>
    <w:qFormat/>
    <w:rsid w:val="0007237D"/>
    <w:rPr>
      <w:i/>
      <w:iCs/>
    </w:rPr>
  </w:style>
  <w:style w:type="paragraph" w:styleId="Header">
    <w:name w:val="header"/>
    <w:basedOn w:val="Normal"/>
    <w:link w:val="HeaderChar"/>
    <w:uiPriority w:val="99"/>
    <w:unhideWhenUsed/>
    <w:rsid w:val="000723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237D"/>
  </w:style>
  <w:style w:type="paragraph" w:styleId="Footer">
    <w:name w:val="footer"/>
    <w:basedOn w:val="Normal"/>
    <w:link w:val="FooterChar"/>
    <w:uiPriority w:val="99"/>
    <w:unhideWhenUsed/>
    <w:rsid w:val="000723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237D"/>
  </w:style>
  <w:style w:type="character" w:customStyle="1" w:styleId="apple-converted-space">
    <w:name w:val="apple-converted-space"/>
    <w:basedOn w:val="DefaultParagraphFont"/>
    <w:rsid w:val="0007237D"/>
  </w:style>
  <w:style w:type="table" w:styleId="LightList-Accent1">
    <w:name w:val="Light List Accent 1"/>
    <w:basedOn w:val="TableNormal"/>
    <w:uiPriority w:val="61"/>
    <w:rsid w:val="0007237D"/>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D102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901F7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102F"/>
    <w:rPr>
      <w:rFonts w:ascii="Times New Roman" w:eastAsia="Times New Roman" w:hAnsi="Times New Roman" w:cs="Times New Roman"/>
      <w:b/>
      <w:bCs/>
      <w:kern w:val="36"/>
      <w:sz w:val="48"/>
      <w:szCs w:val="48"/>
    </w:rPr>
  </w:style>
  <w:style w:type="character" w:customStyle="1" w:styleId="listiclepage-authorby">
    <w:name w:val="listiclepage-authorby"/>
    <w:basedOn w:val="DefaultParagraphFont"/>
    <w:rsid w:val="009D102F"/>
  </w:style>
  <w:style w:type="character" w:styleId="Hyperlink">
    <w:name w:val="Hyperlink"/>
    <w:basedOn w:val="DefaultParagraphFont"/>
    <w:uiPriority w:val="99"/>
    <w:semiHidden/>
    <w:unhideWhenUsed/>
    <w:rsid w:val="009D102F"/>
    <w:rPr>
      <w:color w:val="0000FF"/>
      <w:u w:val="single"/>
    </w:rPr>
  </w:style>
  <w:style w:type="character" w:customStyle="1" w:styleId="listiclepage-datepublished">
    <w:name w:val="listiclepage-datepublished"/>
    <w:basedOn w:val="DefaultParagraphFont"/>
    <w:rsid w:val="009D102F"/>
  </w:style>
  <w:style w:type="paragraph" w:styleId="NormalWeb">
    <w:name w:val="Normal (Web)"/>
    <w:basedOn w:val="Normal"/>
    <w:uiPriority w:val="99"/>
    <w:semiHidden/>
    <w:unhideWhenUsed/>
    <w:rsid w:val="009D102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D10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102F"/>
    <w:rPr>
      <w:rFonts w:ascii="Tahoma" w:hAnsi="Tahoma" w:cs="Tahoma"/>
      <w:sz w:val="16"/>
      <w:szCs w:val="16"/>
    </w:rPr>
  </w:style>
  <w:style w:type="character" w:customStyle="1" w:styleId="credit--ctn">
    <w:name w:val="credit--ctn"/>
    <w:basedOn w:val="DefaultParagraphFont"/>
    <w:rsid w:val="009D102F"/>
  </w:style>
  <w:style w:type="character" w:styleId="Strong">
    <w:name w:val="Strong"/>
    <w:basedOn w:val="DefaultParagraphFont"/>
    <w:uiPriority w:val="22"/>
    <w:qFormat/>
    <w:rsid w:val="009D102F"/>
    <w:rPr>
      <w:b/>
      <w:bCs/>
    </w:rPr>
  </w:style>
  <w:style w:type="paragraph" w:customStyle="1" w:styleId="r-mb">
    <w:name w:val="r-mb"/>
    <w:basedOn w:val="Normal"/>
    <w:rsid w:val="009D10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mestamp">
    <w:name w:val="timestamp"/>
    <w:basedOn w:val="DefaultParagraphFont"/>
    <w:rsid w:val="009D102F"/>
  </w:style>
  <w:style w:type="character" w:customStyle="1" w:styleId="Heading2Char">
    <w:name w:val="Heading 2 Char"/>
    <w:basedOn w:val="DefaultParagraphFont"/>
    <w:link w:val="Heading2"/>
    <w:uiPriority w:val="9"/>
    <w:rsid w:val="00901F78"/>
    <w:rPr>
      <w:rFonts w:asciiTheme="majorHAnsi" w:eastAsiaTheme="majorEastAsia" w:hAnsiTheme="majorHAnsi" w:cstheme="majorBidi"/>
      <w:b/>
      <w:bCs/>
      <w:color w:val="4F81BD" w:themeColor="accent1"/>
      <w:sz w:val="26"/>
      <w:szCs w:val="26"/>
    </w:rPr>
  </w:style>
  <w:style w:type="character" w:customStyle="1" w:styleId="adthrive-video-text-cutoff">
    <w:name w:val="adthrive-video-text-cutoff"/>
    <w:basedOn w:val="DefaultParagraphFont"/>
    <w:rsid w:val="00901F78"/>
  </w:style>
  <w:style w:type="character" w:customStyle="1" w:styleId="jw-volume-update">
    <w:name w:val="jw-volume-update"/>
    <w:basedOn w:val="DefaultParagraphFont"/>
    <w:rsid w:val="00901F78"/>
  </w:style>
  <w:style w:type="paragraph" w:styleId="ListParagraph">
    <w:name w:val="List Paragraph"/>
    <w:basedOn w:val="Normal"/>
    <w:uiPriority w:val="34"/>
    <w:qFormat/>
    <w:rsid w:val="00394598"/>
    <w:pPr>
      <w:ind w:left="720"/>
      <w:contextualSpacing/>
    </w:pPr>
  </w:style>
  <w:style w:type="table" w:styleId="TableGrid">
    <w:name w:val="Table Grid"/>
    <w:basedOn w:val="TableNormal"/>
    <w:uiPriority w:val="59"/>
    <w:rsid w:val="00C916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5">
    <w:name w:val="Light List Accent 5"/>
    <w:basedOn w:val="TableNormal"/>
    <w:uiPriority w:val="61"/>
    <w:rsid w:val="00046473"/>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Emphasis">
    <w:name w:val="Emphasis"/>
    <w:basedOn w:val="DefaultParagraphFont"/>
    <w:uiPriority w:val="20"/>
    <w:qFormat/>
    <w:rsid w:val="0007237D"/>
    <w:rPr>
      <w:i/>
      <w:iCs/>
    </w:rPr>
  </w:style>
  <w:style w:type="paragraph" w:styleId="Header">
    <w:name w:val="header"/>
    <w:basedOn w:val="Normal"/>
    <w:link w:val="HeaderChar"/>
    <w:uiPriority w:val="99"/>
    <w:unhideWhenUsed/>
    <w:rsid w:val="000723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237D"/>
  </w:style>
  <w:style w:type="paragraph" w:styleId="Footer">
    <w:name w:val="footer"/>
    <w:basedOn w:val="Normal"/>
    <w:link w:val="FooterChar"/>
    <w:uiPriority w:val="99"/>
    <w:unhideWhenUsed/>
    <w:rsid w:val="000723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237D"/>
  </w:style>
  <w:style w:type="character" w:customStyle="1" w:styleId="apple-converted-space">
    <w:name w:val="apple-converted-space"/>
    <w:basedOn w:val="DefaultParagraphFont"/>
    <w:rsid w:val="0007237D"/>
  </w:style>
  <w:style w:type="table" w:styleId="LightList-Accent1">
    <w:name w:val="Light List Accent 1"/>
    <w:basedOn w:val="TableNormal"/>
    <w:uiPriority w:val="61"/>
    <w:rsid w:val="0007237D"/>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915659">
      <w:bodyDiv w:val="1"/>
      <w:marLeft w:val="0"/>
      <w:marRight w:val="0"/>
      <w:marTop w:val="0"/>
      <w:marBottom w:val="0"/>
      <w:divBdr>
        <w:top w:val="none" w:sz="0" w:space="0" w:color="auto"/>
        <w:left w:val="none" w:sz="0" w:space="0" w:color="auto"/>
        <w:bottom w:val="none" w:sz="0" w:space="0" w:color="auto"/>
        <w:right w:val="none" w:sz="0" w:space="0" w:color="auto"/>
      </w:divBdr>
      <w:divsChild>
        <w:div w:id="2099357">
          <w:marLeft w:val="0"/>
          <w:marRight w:val="0"/>
          <w:marTop w:val="0"/>
          <w:marBottom w:val="0"/>
          <w:divBdr>
            <w:top w:val="none" w:sz="0" w:space="0" w:color="auto"/>
            <w:left w:val="none" w:sz="0" w:space="0" w:color="auto"/>
            <w:bottom w:val="none" w:sz="0" w:space="0" w:color="auto"/>
            <w:right w:val="none" w:sz="0" w:space="0" w:color="auto"/>
          </w:divBdr>
          <w:divsChild>
            <w:div w:id="1297099722">
              <w:marLeft w:val="0"/>
              <w:marRight w:val="0"/>
              <w:marTop w:val="0"/>
              <w:marBottom w:val="0"/>
              <w:divBdr>
                <w:top w:val="none" w:sz="0" w:space="0" w:color="auto"/>
                <w:left w:val="none" w:sz="0" w:space="0" w:color="auto"/>
                <w:bottom w:val="none" w:sz="0" w:space="0" w:color="auto"/>
                <w:right w:val="none" w:sz="0" w:space="0" w:color="auto"/>
              </w:divBdr>
            </w:div>
          </w:divsChild>
        </w:div>
        <w:div w:id="302122513">
          <w:marLeft w:val="0"/>
          <w:marRight w:val="0"/>
          <w:marTop w:val="0"/>
          <w:marBottom w:val="0"/>
          <w:divBdr>
            <w:top w:val="none" w:sz="0" w:space="0" w:color="auto"/>
            <w:left w:val="none" w:sz="0" w:space="0" w:color="auto"/>
            <w:bottom w:val="none" w:sz="0" w:space="0" w:color="auto"/>
            <w:right w:val="none" w:sz="0" w:space="0" w:color="auto"/>
          </w:divBdr>
          <w:divsChild>
            <w:div w:id="968315106">
              <w:marLeft w:val="0"/>
              <w:marRight w:val="0"/>
              <w:marTop w:val="0"/>
              <w:marBottom w:val="0"/>
              <w:divBdr>
                <w:top w:val="none" w:sz="0" w:space="0" w:color="auto"/>
                <w:left w:val="none" w:sz="0" w:space="0" w:color="auto"/>
                <w:bottom w:val="none" w:sz="0" w:space="0" w:color="auto"/>
                <w:right w:val="none" w:sz="0" w:space="0" w:color="auto"/>
              </w:divBdr>
            </w:div>
          </w:divsChild>
        </w:div>
        <w:div w:id="434637583">
          <w:marLeft w:val="0"/>
          <w:marRight w:val="0"/>
          <w:marTop w:val="0"/>
          <w:marBottom w:val="0"/>
          <w:divBdr>
            <w:top w:val="none" w:sz="0" w:space="0" w:color="auto"/>
            <w:left w:val="none" w:sz="0" w:space="0" w:color="auto"/>
            <w:bottom w:val="none" w:sz="0" w:space="0" w:color="auto"/>
            <w:right w:val="none" w:sz="0" w:space="0" w:color="auto"/>
          </w:divBdr>
          <w:divsChild>
            <w:div w:id="1784961745">
              <w:marLeft w:val="0"/>
              <w:marRight w:val="0"/>
              <w:marTop w:val="0"/>
              <w:marBottom w:val="0"/>
              <w:divBdr>
                <w:top w:val="none" w:sz="0" w:space="0" w:color="auto"/>
                <w:left w:val="none" w:sz="0" w:space="0" w:color="auto"/>
                <w:bottom w:val="none" w:sz="0" w:space="0" w:color="auto"/>
                <w:right w:val="none" w:sz="0" w:space="0" w:color="auto"/>
              </w:divBdr>
            </w:div>
          </w:divsChild>
        </w:div>
        <w:div w:id="648290792">
          <w:marLeft w:val="0"/>
          <w:marRight w:val="0"/>
          <w:marTop w:val="0"/>
          <w:marBottom w:val="0"/>
          <w:divBdr>
            <w:top w:val="none" w:sz="0" w:space="0" w:color="auto"/>
            <w:left w:val="none" w:sz="0" w:space="0" w:color="auto"/>
            <w:bottom w:val="none" w:sz="0" w:space="0" w:color="auto"/>
            <w:right w:val="none" w:sz="0" w:space="0" w:color="auto"/>
          </w:divBdr>
          <w:divsChild>
            <w:div w:id="1661343930">
              <w:marLeft w:val="0"/>
              <w:marRight w:val="0"/>
              <w:marTop w:val="0"/>
              <w:marBottom w:val="0"/>
              <w:divBdr>
                <w:top w:val="none" w:sz="0" w:space="0" w:color="auto"/>
                <w:left w:val="none" w:sz="0" w:space="0" w:color="auto"/>
                <w:bottom w:val="none" w:sz="0" w:space="0" w:color="auto"/>
                <w:right w:val="none" w:sz="0" w:space="0" w:color="auto"/>
              </w:divBdr>
            </w:div>
          </w:divsChild>
        </w:div>
        <w:div w:id="776947050">
          <w:marLeft w:val="0"/>
          <w:marRight w:val="0"/>
          <w:marTop w:val="0"/>
          <w:marBottom w:val="0"/>
          <w:divBdr>
            <w:top w:val="none" w:sz="0" w:space="0" w:color="auto"/>
            <w:left w:val="none" w:sz="0" w:space="0" w:color="auto"/>
            <w:bottom w:val="none" w:sz="0" w:space="0" w:color="auto"/>
            <w:right w:val="none" w:sz="0" w:space="0" w:color="auto"/>
          </w:divBdr>
          <w:divsChild>
            <w:div w:id="317879732">
              <w:marLeft w:val="0"/>
              <w:marRight w:val="0"/>
              <w:marTop w:val="0"/>
              <w:marBottom w:val="0"/>
              <w:divBdr>
                <w:top w:val="none" w:sz="0" w:space="0" w:color="auto"/>
                <w:left w:val="none" w:sz="0" w:space="0" w:color="auto"/>
                <w:bottom w:val="none" w:sz="0" w:space="0" w:color="auto"/>
                <w:right w:val="none" w:sz="0" w:space="0" w:color="auto"/>
              </w:divBdr>
            </w:div>
          </w:divsChild>
        </w:div>
        <w:div w:id="881400417">
          <w:marLeft w:val="0"/>
          <w:marRight w:val="0"/>
          <w:marTop w:val="0"/>
          <w:marBottom w:val="0"/>
          <w:divBdr>
            <w:top w:val="none" w:sz="0" w:space="0" w:color="auto"/>
            <w:left w:val="none" w:sz="0" w:space="0" w:color="auto"/>
            <w:bottom w:val="none" w:sz="0" w:space="0" w:color="auto"/>
            <w:right w:val="none" w:sz="0" w:space="0" w:color="auto"/>
          </w:divBdr>
          <w:divsChild>
            <w:div w:id="85079662">
              <w:marLeft w:val="0"/>
              <w:marRight w:val="0"/>
              <w:marTop w:val="0"/>
              <w:marBottom w:val="0"/>
              <w:divBdr>
                <w:top w:val="none" w:sz="0" w:space="0" w:color="auto"/>
                <w:left w:val="none" w:sz="0" w:space="0" w:color="auto"/>
                <w:bottom w:val="none" w:sz="0" w:space="0" w:color="auto"/>
                <w:right w:val="none" w:sz="0" w:space="0" w:color="auto"/>
              </w:divBdr>
            </w:div>
          </w:divsChild>
        </w:div>
        <w:div w:id="1130587377">
          <w:marLeft w:val="0"/>
          <w:marRight w:val="0"/>
          <w:marTop w:val="0"/>
          <w:marBottom w:val="0"/>
          <w:divBdr>
            <w:top w:val="none" w:sz="0" w:space="0" w:color="auto"/>
            <w:left w:val="none" w:sz="0" w:space="0" w:color="auto"/>
            <w:bottom w:val="none" w:sz="0" w:space="0" w:color="auto"/>
            <w:right w:val="none" w:sz="0" w:space="0" w:color="auto"/>
          </w:divBdr>
          <w:divsChild>
            <w:div w:id="943147005">
              <w:marLeft w:val="0"/>
              <w:marRight w:val="0"/>
              <w:marTop w:val="0"/>
              <w:marBottom w:val="0"/>
              <w:divBdr>
                <w:top w:val="none" w:sz="0" w:space="0" w:color="auto"/>
                <w:left w:val="none" w:sz="0" w:space="0" w:color="auto"/>
                <w:bottom w:val="none" w:sz="0" w:space="0" w:color="auto"/>
                <w:right w:val="none" w:sz="0" w:space="0" w:color="auto"/>
              </w:divBdr>
            </w:div>
          </w:divsChild>
        </w:div>
        <w:div w:id="1350982409">
          <w:marLeft w:val="0"/>
          <w:marRight w:val="0"/>
          <w:marTop w:val="0"/>
          <w:marBottom w:val="0"/>
          <w:divBdr>
            <w:top w:val="none" w:sz="0" w:space="0" w:color="auto"/>
            <w:left w:val="none" w:sz="0" w:space="0" w:color="auto"/>
            <w:bottom w:val="none" w:sz="0" w:space="0" w:color="auto"/>
            <w:right w:val="none" w:sz="0" w:space="0" w:color="auto"/>
          </w:divBdr>
          <w:divsChild>
            <w:div w:id="408891294">
              <w:marLeft w:val="0"/>
              <w:marRight w:val="0"/>
              <w:marTop w:val="0"/>
              <w:marBottom w:val="0"/>
              <w:divBdr>
                <w:top w:val="none" w:sz="0" w:space="0" w:color="auto"/>
                <w:left w:val="none" w:sz="0" w:space="0" w:color="auto"/>
                <w:bottom w:val="none" w:sz="0" w:space="0" w:color="auto"/>
                <w:right w:val="none" w:sz="0" w:space="0" w:color="auto"/>
              </w:divBdr>
            </w:div>
          </w:divsChild>
        </w:div>
        <w:div w:id="1446533442">
          <w:marLeft w:val="0"/>
          <w:marRight w:val="0"/>
          <w:marTop w:val="0"/>
          <w:marBottom w:val="0"/>
          <w:divBdr>
            <w:top w:val="none" w:sz="0" w:space="0" w:color="auto"/>
            <w:left w:val="none" w:sz="0" w:space="0" w:color="auto"/>
            <w:bottom w:val="none" w:sz="0" w:space="0" w:color="auto"/>
            <w:right w:val="none" w:sz="0" w:space="0" w:color="auto"/>
          </w:divBdr>
          <w:divsChild>
            <w:div w:id="1145580983">
              <w:marLeft w:val="0"/>
              <w:marRight w:val="0"/>
              <w:marTop w:val="0"/>
              <w:marBottom w:val="0"/>
              <w:divBdr>
                <w:top w:val="none" w:sz="0" w:space="0" w:color="auto"/>
                <w:left w:val="none" w:sz="0" w:space="0" w:color="auto"/>
                <w:bottom w:val="none" w:sz="0" w:space="0" w:color="auto"/>
                <w:right w:val="none" w:sz="0" w:space="0" w:color="auto"/>
              </w:divBdr>
            </w:div>
          </w:divsChild>
        </w:div>
        <w:div w:id="1497455629">
          <w:marLeft w:val="0"/>
          <w:marRight w:val="0"/>
          <w:marTop w:val="0"/>
          <w:marBottom w:val="0"/>
          <w:divBdr>
            <w:top w:val="none" w:sz="0" w:space="0" w:color="auto"/>
            <w:left w:val="none" w:sz="0" w:space="0" w:color="auto"/>
            <w:bottom w:val="none" w:sz="0" w:space="0" w:color="auto"/>
            <w:right w:val="none" w:sz="0" w:space="0" w:color="auto"/>
          </w:divBdr>
          <w:divsChild>
            <w:div w:id="1562137051">
              <w:marLeft w:val="0"/>
              <w:marRight w:val="0"/>
              <w:marTop w:val="0"/>
              <w:marBottom w:val="0"/>
              <w:divBdr>
                <w:top w:val="none" w:sz="0" w:space="0" w:color="auto"/>
                <w:left w:val="none" w:sz="0" w:space="0" w:color="auto"/>
                <w:bottom w:val="none" w:sz="0" w:space="0" w:color="auto"/>
                <w:right w:val="none" w:sz="0" w:space="0" w:color="auto"/>
              </w:divBdr>
            </w:div>
          </w:divsChild>
        </w:div>
        <w:div w:id="1553419325">
          <w:marLeft w:val="0"/>
          <w:marRight w:val="0"/>
          <w:marTop w:val="0"/>
          <w:marBottom w:val="0"/>
          <w:divBdr>
            <w:top w:val="none" w:sz="0" w:space="0" w:color="auto"/>
            <w:left w:val="none" w:sz="0" w:space="0" w:color="auto"/>
            <w:bottom w:val="none" w:sz="0" w:space="0" w:color="auto"/>
            <w:right w:val="none" w:sz="0" w:space="0" w:color="auto"/>
          </w:divBdr>
          <w:divsChild>
            <w:div w:id="223032876">
              <w:marLeft w:val="0"/>
              <w:marRight w:val="0"/>
              <w:marTop w:val="0"/>
              <w:marBottom w:val="0"/>
              <w:divBdr>
                <w:top w:val="none" w:sz="0" w:space="0" w:color="auto"/>
                <w:left w:val="none" w:sz="0" w:space="0" w:color="auto"/>
                <w:bottom w:val="none" w:sz="0" w:space="0" w:color="auto"/>
                <w:right w:val="none" w:sz="0" w:space="0" w:color="auto"/>
              </w:divBdr>
            </w:div>
          </w:divsChild>
        </w:div>
        <w:div w:id="1851332512">
          <w:marLeft w:val="0"/>
          <w:marRight w:val="0"/>
          <w:marTop w:val="0"/>
          <w:marBottom w:val="0"/>
          <w:divBdr>
            <w:top w:val="none" w:sz="0" w:space="0" w:color="auto"/>
            <w:left w:val="none" w:sz="0" w:space="0" w:color="auto"/>
            <w:bottom w:val="none" w:sz="0" w:space="0" w:color="auto"/>
            <w:right w:val="none" w:sz="0" w:space="0" w:color="auto"/>
          </w:divBdr>
          <w:divsChild>
            <w:div w:id="115293158">
              <w:marLeft w:val="0"/>
              <w:marRight w:val="0"/>
              <w:marTop w:val="0"/>
              <w:marBottom w:val="0"/>
              <w:divBdr>
                <w:top w:val="none" w:sz="0" w:space="0" w:color="auto"/>
                <w:left w:val="none" w:sz="0" w:space="0" w:color="auto"/>
                <w:bottom w:val="none" w:sz="0" w:space="0" w:color="auto"/>
                <w:right w:val="none" w:sz="0" w:space="0" w:color="auto"/>
              </w:divBdr>
            </w:div>
          </w:divsChild>
        </w:div>
        <w:div w:id="1905025478">
          <w:marLeft w:val="0"/>
          <w:marRight w:val="0"/>
          <w:marTop w:val="0"/>
          <w:marBottom w:val="0"/>
          <w:divBdr>
            <w:top w:val="none" w:sz="0" w:space="0" w:color="auto"/>
            <w:left w:val="none" w:sz="0" w:space="0" w:color="auto"/>
            <w:bottom w:val="none" w:sz="0" w:space="0" w:color="auto"/>
            <w:right w:val="none" w:sz="0" w:space="0" w:color="auto"/>
          </w:divBdr>
          <w:divsChild>
            <w:div w:id="1761294897">
              <w:marLeft w:val="0"/>
              <w:marRight w:val="0"/>
              <w:marTop w:val="0"/>
              <w:marBottom w:val="0"/>
              <w:divBdr>
                <w:top w:val="none" w:sz="0" w:space="0" w:color="auto"/>
                <w:left w:val="none" w:sz="0" w:space="0" w:color="auto"/>
                <w:bottom w:val="none" w:sz="0" w:space="0" w:color="auto"/>
                <w:right w:val="none" w:sz="0" w:space="0" w:color="auto"/>
              </w:divBdr>
            </w:div>
          </w:divsChild>
        </w:div>
        <w:div w:id="2016110527">
          <w:marLeft w:val="0"/>
          <w:marRight w:val="0"/>
          <w:marTop w:val="0"/>
          <w:marBottom w:val="0"/>
          <w:divBdr>
            <w:top w:val="none" w:sz="0" w:space="0" w:color="auto"/>
            <w:left w:val="none" w:sz="0" w:space="0" w:color="auto"/>
            <w:bottom w:val="none" w:sz="0" w:space="0" w:color="auto"/>
            <w:right w:val="none" w:sz="0" w:space="0" w:color="auto"/>
          </w:divBdr>
          <w:divsChild>
            <w:div w:id="212274063">
              <w:marLeft w:val="0"/>
              <w:marRight w:val="0"/>
              <w:marTop w:val="0"/>
              <w:marBottom w:val="0"/>
              <w:divBdr>
                <w:top w:val="none" w:sz="0" w:space="0" w:color="auto"/>
                <w:left w:val="none" w:sz="0" w:space="0" w:color="auto"/>
                <w:bottom w:val="none" w:sz="0" w:space="0" w:color="auto"/>
                <w:right w:val="none" w:sz="0" w:space="0" w:color="auto"/>
              </w:divBdr>
            </w:div>
          </w:divsChild>
        </w:div>
        <w:div w:id="2072540533">
          <w:marLeft w:val="0"/>
          <w:marRight w:val="0"/>
          <w:marTop w:val="0"/>
          <w:marBottom w:val="0"/>
          <w:divBdr>
            <w:top w:val="none" w:sz="0" w:space="0" w:color="auto"/>
            <w:left w:val="none" w:sz="0" w:space="0" w:color="auto"/>
            <w:bottom w:val="none" w:sz="0" w:space="0" w:color="auto"/>
            <w:right w:val="none" w:sz="0" w:space="0" w:color="auto"/>
          </w:divBdr>
          <w:divsChild>
            <w:div w:id="467942134">
              <w:marLeft w:val="0"/>
              <w:marRight w:val="0"/>
              <w:marTop w:val="0"/>
              <w:marBottom w:val="0"/>
              <w:divBdr>
                <w:top w:val="none" w:sz="0" w:space="0" w:color="auto"/>
                <w:left w:val="none" w:sz="0" w:space="0" w:color="auto"/>
                <w:bottom w:val="none" w:sz="0" w:space="0" w:color="auto"/>
                <w:right w:val="none" w:sz="0" w:space="0" w:color="auto"/>
              </w:divBdr>
              <w:divsChild>
                <w:div w:id="708645123">
                  <w:marLeft w:val="0"/>
                  <w:marRight w:val="0"/>
                  <w:marTop w:val="0"/>
                  <w:marBottom w:val="0"/>
                  <w:divBdr>
                    <w:top w:val="none" w:sz="0" w:space="0" w:color="auto"/>
                    <w:left w:val="none" w:sz="0" w:space="0" w:color="auto"/>
                    <w:bottom w:val="none" w:sz="0" w:space="0" w:color="auto"/>
                    <w:right w:val="none" w:sz="0" w:space="0" w:color="auto"/>
                  </w:divBdr>
                </w:div>
                <w:div w:id="158977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64275">
      <w:bodyDiv w:val="1"/>
      <w:marLeft w:val="0"/>
      <w:marRight w:val="0"/>
      <w:marTop w:val="0"/>
      <w:marBottom w:val="0"/>
      <w:divBdr>
        <w:top w:val="none" w:sz="0" w:space="0" w:color="auto"/>
        <w:left w:val="none" w:sz="0" w:space="0" w:color="auto"/>
        <w:bottom w:val="none" w:sz="0" w:space="0" w:color="auto"/>
        <w:right w:val="none" w:sz="0" w:space="0" w:color="auto"/>
      </w:divBdr>
      <w:divsChild>
        <w:div w:id="538931349">
          <w:marLeft w:val="0"/>
          <w:marRight w:val="0"/>
          <w:marTop w:val="0"/>
          <w:marBottom w:val="0"/>
          <w:divBdr>
            <w:top w:val="none" w:sz="0" w:space="0" w:color="auto"/>
            <w:left w:val="none" w:sz="0" w:space="0" w:color="auto"/>
            <w:bottom w:val="none" w:sz="0" w:space="0" w:color="auto"/>
            <w:right w:val="none" w:sz="0" w:space="0" w:color="auto"/>
          </w:divBdr>
          <w:divsChild>
            <w:div w:id="1342974109">
              <w:marLeft w:val="0"/>
              <w:marRight w:val="0"/>
              <w:marTop w:val="0"/>
              <w:marBottom w:val="0"/>
              <w:divBdr>
                <w:top w:val="none" w:sz="0" w:space="0" w:color="auto"/>
                <w:left w:val="none" w:sz="0" w:space="0" w:color="auto"/>
                <w:bottom w:val="none" w:sz="0" w:space="0" w:color="auto"/>
                <w:right w:val="none" w:sz="0" w:space="0" w:color="auto"/>
              </w:divBdr>
              <w:divsChild>
                <w:div w:id="128446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531892">
          <w:marLeft w:val="0"/>
          <w:marRight w:val="0"/>
          <w:marTop w:val="0"/>
          <w:marBottom w:val="0"/>
          <w:divBdr>
            <w:top w:val="none" w:sz="0" w:space="0" w:color="auto"/>
            <w:left w:val="none" w:sz="0" w:space="0" w:color="auto"/>
            <w:bottom w:val="none" w:sz="0" w:space="0" w:color="auto"/>
            <w:right w:val="none" w:sz="0" w:space="0" w:color="auto"/>
          </w:divBdr>
          <w:divsChild>
            <w:div w:id="1697776228">
              <w:marLeft w:val="0"/>
              <w:marRight w:val="0"/>
              <w:marTop w:val="0"/>
              <w:marBottom w:val="0"/>
              <w:divBdr>
                <w:top w:val="none" w:sz="0" w:space="0" w:color="auto"/>
                <w:left w:val="none" w:sz="0" w:space="0" w:color="auto"/>
                <w:bottom w:val="none" w:sz="0" w:space="0" w:color="auto"/>
                <w:right w:val="none" w:sz="0" w:space="0" w:color="auto"/>
              </w:divBdr>
              <w:divsChild>
                <w:div w:id="85769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155949">
      <w:bodyDiv w:val="1"/>
      <w:marLeft w:val="0"/>
      <w:marRight w:val="0"/>
      <w:marTop w:val="0"/>
      <w:marBottom w:val="0"/>
      <w:divBdr>
        <w:top w:val="none" w:sz="0" w:space="0" w:color="auto"/>
        <w:left w:val="none" w:sz="0" w:space="0" w:color="auto"/>
        <w:bottom w:val="none" w:sz="0" w:space="0" w:color="auto"/>
        <w:right w:val="none" w:sz="0" w:space="0" w:color="auto"/>
      </w:divBdr>
    </w:div>
    <w:div w:id="317536793">
      <w:bodyDiv w:val="1"/>
      <w:marLeft w:val="0"/>
      <w:marRight w:val="0"/>
      <w:marTop w:val="0"/>
      <w:marBottom w:val="0"/>
      <w:divBdr>
        <w:top w:val="none" w:sz="0" w:space="0" w:color="auto"/>
        <w:left w:val="none" w:sz="0" w:space="0" w:color="auto"/>
        <w:bottom w:val="none" w:sz="0" w:space="0" w:color="auto"/>
        <w:right w:val="none" w:sz="0" w:space="0" w:color="auto"/>
      </w:divBdr>
    </w:div>
    <w:div w:id="405878545">
      <w:bodyDiv w:val="1"/>
      <w:marLeft w:val="0"/>
      <w:marRight w:val="0"/>
      <w:marTop w:val="0"/>
      <w:marBottom w:val="0"/>
      <w:divBdr>
        <w:top w:val="none" w:sz="0" w:space="0" w:color="auto"/>
        <w:left w:val="none" w:sz="0" w:space="0" w:color="auto"/>
        <w:bottom w:val="none" w:sz="0" w:space="0" w:color="auto"/>
        <w:right w:val="none" w:sz="0" w:space="0" w:color="auto"/>
      </w:divBdr>
      <w:divsChild>
        <w:div w:id="785580059">
          <w:marLeft w:val="0"/>
          <w:marRight w:val="0"/>
          <w:marTop w:val="0"/>
          <w:marBottom w:val="0"/>
          <w:divBdr>
            <w:top w:val="none" w:sz="0" w:space="0" w:color="auto"/>
            <w:left w:val="none" w:sz="0" w:space="0" w:color="auto"/>
            <w:bottom w:val="none" w:sz="0" w:space="0" w:color="auto"/>
            <w:right w:val="none" w:sz="0" w:space="0" w:color="auto"/>
          </w:divBdr>
          <w:divsChild>
            <w:div w:id="288511188">
              <w:marLeft w:val="0"/>
              <w:marRight w:val="0"/>
              <w:marTop w:val="0"/>
              <w:marBottom w:val="0"/>
              <w:divBdr>
                <w:top w:val="none" w:sz="0" w:space="0" w:color="auto"/>
                <w:left w:val="none" w:sz="0" w:space="0" w:color="auto"/>
                <w:bottom w:val="none" w:sz="0" w:space="0" w:color="auto"/>
                <w:right w:val="none" w:sz="0" w:space="0" w:color="auto"/>
              </w:divBdr>
              <w:divsChild>
                <w:div w:id="2144806755">
                  <w:marLeft w:val="0"/>
                  <w:marRight w:val="0"/>
                  <w:marTop w:val="0"/>
                  <w:marBottom w:val="0"/>
                  <w:divBdr>
                    <w:top w:val="none" w:sz="0" w:space="0" w:color="auto"/>
                    <w:left w:val="none" w:sz="0" w:space="0" w:color="auto"/>
                    <w:bottom w:val="none" w:sz="0" w:space="0" w:color="auto"/>
                    <w:right w:val="none" w:sz="0" w:space="0" w:color="auto"/>
                  </w:divBdr>
                  <w:divsChild>
                    <w:div w:id="1045984211">
                      <w:marLeft w:val="0"/>
                      <w:marRight w:val="0"/>
                      <w:marTop w:val="0"/>
                      <w:marBottom w:val="0"/>
                      <w:divBdr>
                        <w:top w:val="none" w:sz="0" w:space="0" w:color="auto"/>
                        <w:left w:val="none" w:sz="0" w:space="0" w:color="auto"/>
                        <w:bottom w:val="none" w:sz="0" w:space="0" w:color="auto"/>
                        <w:right w:val="none" w:sz="0" w:space="0" w:color="auto"/>
                      </w:divBdr>
                      <w:divsChild>
                        <w:div w:id="1177767300">
                          <w:marLeft w:val="0"/>
                          <w:marRight w:val="0"/>
                          <w:marTop w:val="0"/>
                          <w:marBottom w:val="0"/>
                          <w:divBdr>
                            <w:top w:val="none" w:sz="0" w:space="0" w:color="auto"/>
                            <w:left w:val="none" w:sz="0" w:space="0" w:color="auto"/>
                            <w:bottom w:val="none" w:sz="0" w:space="0" w:color="auto"/>
                            <w:right w:val="none" w:sz="0" w:space="0" w:color="auto"/>
                          </w:divBdr>
                        </w:div>
                        <w:div w:id="162322732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780837221">
              <w:marLeft w:val="0"/>
              <w:marRight w:val="0"/>
              <w:marTop w:val="0"/>
              <w:marBottom w:val="0"/>
              <w:divBdr>
                <w:top w:val="none" w:sz="0" w:space="0" w:color="auto"/>
                <w:left w:val="none" w:sz="0" w:space="0" w:color="auto"/>
                <w:bottom w:val="none" w:sz="0" w:space="0" w:color="auto"/>
                <w:right w:val="none" w:sz="0" w:space="0" w:color="auto"/>
              </w:divBdr>
              <w:divsChild>
                <w:div w:id="1170022805">
                  <w:marLeft w:val="0"/>
                  <w:marRight w:val="0"/>
                  <w:marTop w:val="0"/>
                  <w:marBottom w:val="0"/>
                  <w:divBdr>
                    <w:top w:val="none" w:sz="0" w:space="0" w:color="auto"/>
                    <w:left w:val="none" w:sz="0" w:space="0" w:color="auto"/>
                    <w:bottom w:val="none" w:sz="0" w:space="0" w:color="auto"/>
                    <w:right w:val="none" w:sz="0" w:space="0" w:color="auto"/>
                  </w:divBdr>
                  <w:divsChild>
                    <w:div w:id="372583489">
                      <w:marLeft w:val="0"/>
                      <w:marRight w:val="0"/>
                      <w:marTop w:val="0"/>
                      <w:marBottom w:val="0"/>
                      <w:divBdr>
                        <w:top w:val="none" w:sz="0" w:space="0" w:color="auto"/>
                        <w:left w:val="none" w:sz="0" w:space="0" w:color="auto"/>
                        <w:bottom w:val="none" w:sz="0" w:space="0" w:color="auto"/>
                        <w:right w:val="none" w:sz="0" w:space="0" w:color="auto"/>
                      </w:divBdr>
                      <w:divsChild>
                        <w:div w:id="968706007">
                          <w:marLeft w:val="0"/>
                          <w:marRight w:val="0"/>
                          <w:marTop w:val="150"/>
                          <w:marBottom w:val="150"/>
                          <w:divBdr>
                            <w:top w:val="none" w:sz="0" w:space="0" w:color="auto"/>
                            <w:left w:val="none" w:sz="0" w:space="0" w:color="auto"/>
                            <w:bottom w:val="none" w:sz="0" w:space="0" w:color="auto"/>
                            <w:right w:val="none" w:sz="0" w:space="0" w:color="auto"/>
                          </w:divBdr>
                        </w:div>
                        <w:div w:id="197640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5257982">
          <w:marLeft w:val="0"/>
          <w:marRight w:val="0"/>
          <w:marTop w:val="0"/>
          <w:marBottom w:val="0"/>
          <w:divBdr>
            <w:top w:val="none" w:sz="0" w:space="0" w:color="auto"/>
            <w:left w:val="none" w:sz="0" w:space="0" w:color="auto"/>
            <w:bottom w:val="none" w:sz="0" w:space="0" w:color="auto"/>
            <w:right w:val="none" w:sz="0" w:space="0" w:color="auto"/>
          </w:divBdr>
          <w:divsChild>
            <w:div w:id="749424306">
              <w:marLeft w:val="0"/>
              <w:marRight w:val="0"/>
              <w:marTop w:val="0"/>
              <w:marBottom w:val="0"/>
              <w:divBdr>
                <w:top w:val="none" w:sz="0" w:space="0" w:color="auto"/>
                <w:left w:val="none" w:sz="0" w:space="0" w:color="auto"/>
                <w:bottom w:val="none" w:sz="0" w:space="0" w:color="auto"/>
                <w:right w:val="none" w:sz="0" w:space="0" w:color="auto"/>
              </w:divBdr>
              <w:divsChild>
                <w:div w:id="1571502092">
                  <w:marLeft w:val="-900"/>
                  <w:marRight w:val="0"/>
                  <w:marTop w:val="0"/>
                  <w:marBottom w:val="0"/>
                  <w:divBdr>
                    <w:top w:val="none" w:sz="0" w:space="0" w:color="auto"/>
                    <w:left w:val="none" w:sz="0" w:space="0" w:color="auto"/>
                    <w:bottom w:val="none" w:sz="0" w:space="0" w:color="auto"/>
                    <w:right w:val="none" w:sz="0" w:space="0" w:color="auto"/>
                  </w:divBdr>
                  <w:divsChild>
                    <w:div w:id="1297374784">
                      <w:marLeft w:val="0"/>
                      <w:marRight w:val="0"/>
                      <w:marTop w:val="0"/>
                      <w:marBottom w:val="0"/>
                      <w:divBdr>
                        <w:top w:val="none" w:sz="0" w:space="0" w:color="auto"/>
                        <w:left w:val="none" w:sz="0" w:space="0" w:color="auto"/>
                        <w:bottom w:val="none" w:sz="0" w:space="0" w:color="auto"/>
                        <w:right w:val="none" w:sz="0" w:space="0" w:color="auto"/>
                      </w:divBdr>
                      <w:divsChild>
                        <w:div w:id="604268039">
                          <w:marLeft w:val="0"/>
                          <w:marRight w:val="0"/>
                          <w:marTop w:val="0"/>
                          <w:marBottom w:val="0"/>
                          <w:divBdr>
                            <w:top w:val="none" w:sz="0" w:space="0" w:color="auto"/>
                            <w:left w:val="none" w:sz="0" w:space="0" w:color="auto"/>
                            <w:bottom w:val="none" w:sz="0" w:space="0" w:color="auto"/>
                            <w:right w:val="none" w:sz="0" w:space="0" w:color="auto"/>
                          </w:divBdr>
                          <w:divsChild>
                            <w:div w:id="1415932339">
                              <w:marLeft w:val="0"/>
                              <w:marRight w:val="0"/>
                              <w:marTop w:val="0"/>
                              <w:marBottom w:val="0"/>
                              <w:divBdr>
                                <w:top w:val="none" w:sz="0" w:space="0" w:color="auto"/>
                                <w:left w:val="none" w:sz="0" w:space="0" w:color="auto"/>
                                <w:bottom w:val="none" w:sz="0" w:space="0" w:color="auto"/>
                                <w:right w:val="none" w:sz="0" w:space="0" w:color="auto"/>
                              </w:divBdr>
                              <w:divsChild>
                                <w:div w:id="2073505791">
                                  <w:marLeft w:val="0"/>
                                  <w:marRight w:val="0"/>
                                  <w:marTop w:val="0"/>
                                  <w:marBottom w:val="0"/>
                                  <w:divBdr>
                                    <w:top w:val="none" w:sz="0" w:space="0" w:color="auto"/>
                                    <w:left w:val="none" w:sz="0" w:space="0" w:color="auto"/>
                                    <w:bottom w:val="none" w:sz="0" w:space="0" w:color="auto"/>
                                    <w:right w:val="none" w:sz="0" w:space="0" w:color="auto"/>
                                  </w:divBdr>
                                  <w:divsChild>
                                    <w:div w:id="1671441781">
                                      <w:marLeft w:val="0"/>
                                      <w:marRight w:val="0"/>
                                      <w:marTop w:val="0"/>
                                      <w:marBottom w:val="0"/>
                                      <w:divBdr>
                                        <w:top w:val="none" w:sz="0" w:space="0" w:color="auto"/>
                                        <w:left w:val="none" w:sz="0" w:space="0" w:color="auto"/>
                                        <w:bottom w:val="none" w:sz="0" w:space="0" w:color="auto"/>
                                        <w:right w:val="none" w:sz="0" w:space="0" w:color="auto"/>
                                      </w:divBdr>
                                      <w:divsChild>
                                        <w:div w:id="188968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236967">
                              <w:marLeft w:val="0"/>
                              <w:marRight w:val="0"/>
                              <w:marTop w:val="0"/>
                              <w:marBottom w:val="0"/>
                              <w:divBdr>
                                <w:top w:val="none" w:sz="0" w:space="0" w:color="auto"/>
                                <w:left w:val="none" w:sz="0" w:space="0" w:color="auto"/>
                                <w:bottom w:val="none" w:sz="0" w:space="0" w:color="auto"/>
                                <w:right w:val="none" w:sz="0" w:space="0" w:color="auto"/>
                              </w:divBdr>
                            </w:div>
                          </w:divsChild>
                        </w:div>
                        <w:div w:id="2020965922">
                          <w:marLeft w:val="0"/>
                          <w:marRight w:val="0"/>
                          <w:marTop w:val="225"/>
                          <w:marBottom w:val="300"/>
                          <w:divBdr>
                            <w:top w:val="none" w:sz="0" w:space="0" w:color="auto"/>
                            <w:left w:val="none" w:sz="0" w:space="0" w:color="auto"/>
                            <w:bottom w:val="none" w:sz="0" w:space="0" w:color="auto"/>
                            <w:right w:val="none" w:sz="0" w:space="0" w:color="auto"/>
                          </w:divBdr>
                          <w:divsChild>
                            <w:div w:id="1313098873">
                              <w:marLeft w:val="0"/>
                              <w:marRight w:val="0"/>
                              <w:marTop w:val="0"/>
                              <w:marBottom w:val="0"/>
                              <w:divBdr>
                                <w:top w:val="none" w:sz="0" w:space="0" w:color="auto"/>
                                <w:left w:val="none" w:sz="0" w:space="0" w:color="auto"/>
                                <w:bottom w:val="none" w:sz="0" w:space="0" w:color="auto"/>
                                <w:right w:val="none" w:sz="0" w:space="0" w:color="auto"/>
                              </w:divBdr>
                              <w:divsChild>
                                <w:div w:id="1218518717">
                                  <w:marLeft w:val="0"/>
                                  <w:marRight w:val="300"/>
                                  <w:marTop w:val="0"/>
                                  <w:marBottom w:val="0"/>
                                  <w:divBdr>
                                    <w:top w:val="none" w:sz="0" w:space="0" w:color="auto"/>
                                    <w:left w:val="none" w:sz="0" w:space="0" w:color="auto"/>
                                    <w:bottom w:val="none" w:sz="0" w:space="0" w:color="auto"/>
                                    <w:right w:val="none" w:sz="0" w:space="0" w:color="auto"/>
                                  </w:divBdr>
                                  <w:divsChild>
                                    <w:div w:id="209597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78361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9537">
              <w:marLeft w:val="0"/>
              <w:marRight w:val="0"/>
              <w:marTop w:val="0"/>
              <w:marBottom w:val="0"/>
              <w:divBdr>
                <w:top w:val="none" w:sz="0" w:space="0" w:color="auto"/>
                <w:left w:val="none" w:sz="0" w:space="0" w:color="auto"/>
                <w:bottom w:val="none" w:sz="0" w:space="0" w:color="auto"/>
                <w:right w:val="none" w:sz="0" w:space="0" w:color="auto"/>
              </w:divBdr>
              <w:divsChild>
                <w:div w:id="1748842052">
                  <w:marLeft w:val="0"/>
                  <w:marRight w:val="0"/>
                  <w:marTop w:val="0"/>
                  <w:marBottom w:val="0"/>
                  <w:divBdr>
                    <w:top w:val="none" w:sz="0" w:space="0" w:color="auto"/>
                    <w:left w:val="none" w:sz="0" w:space="0" w:color="auto"/>
                    <w:bottom w:val="none" w:sz="0" w:space="0" w:color="auto"/>
                    <w:right w:val="none" w:sz="0" w:space="0" w:color="auto"/>
                  </w:divBdr>
                  <w:divsChild>
                    <w:div w:id="1644501543">
                      <w:marLeft w:val="0"/>
                      <w:marRight w:val="0"/>
                      <w:marTop w:val="0"/>
                      <w:marBottom w:val="0"/>
                      <w:divBdr>
                        <w:top w:val="none" w:sz="0" w:space="0" w:color="auto"/>
                        <w:left w:val="none" w:sz="0" w:space="0" w:color="auto"/>
                        <w:bottom w:val="none" w:sz="0" w:space="0" w:color="auto"/>
                        <w:right w:val="none" w:sz="0" w:space="0" w:color="auto"/>
                      </w:divBdr>
                      <w:divsChild>
                        <w:div w:id="743070105">
                          <w:marLeft w:val="0"/>
                          <w:marRight w:val="0"/>
                          <w:marTop w:val="0"/>
                          <w:marBottom w:val="0"/>
                          <w:divBdr>
                            <w:top w:val="none" w:sz="0" w:space="0" w:color="auto"/>
                            <w:left w:val="none" w:sz="0" w:space="0" w:color="auto"/>
                            <w:bottom w:val="none" w:sz="0" w:space="0" w:color="auto"/>
                            <w:right w:val="none" w:sz="0" w:space="0" w:color="auto"/>
                          </w:divBdr>
                        </w:div>
                        <w:div w:id="170590303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787963847">
              <w:marLeft w:val="0"/>
              <w:marRight w:val="0"/>
              <w:marTop w:val="0"/>
              <w:marBottom w:val="0"/>
              <w:divBdr>
                <w:top w:val="none" w:sz="0" w:space="0" w:color="auto"/>
                <w:left w:val="none" w:sz="0" w:space="0" w:color="auto"/>
                <w:bottom w:val="none" w:sz="0" w:space="0" w:color="auto"/>
                <w:right w:val="none" w:sz="0" w:space="0" w:color="auto"/>
              </w:divBdr>
              <w:divsChild>
                <w:div w:id="430124795">
                  <w:marLeft w:val="0"/>
                  <w:marRight w:val="0"/>
                  <w:marTop w:val="0"/>
                  <w:marBottom w:val="0"/>
                  <w:divBdr>
                    <w:top w:val="none" w:sz="0" w:space="0" w:color="auto"/>
                    <w:left w:val="none" w:sz="0" w:space="0" w:color="auto"/>
                    <w:bottom w:val="none" w:sz="0" w:space="0" w:color="auto"/>
                    <w:right w:val="none" w:sz="0" w:space="0" w:color="auto"/>
                  </w:divBdr>
                  <w:divsChild>
                    <w:div w:id="834566163">
                      <w:marLeft w:val="0"/>
                      <w:marRight w:val="0"/>
                      <w:marTop w:val="0"/>
                      <w:marBottom w:val="0"/>
                      <w:divBdr>
                        <w:top w:val="none" w:sz="0" w:space="0" w:color="auto"/>
                        <w:left w:val="none" w:sz="0" w:space="0" w:color="auto"/>
                        <w:bottom w:val="none" w:sz="0" w:space="0" w:color="auto"/>
                        <w:right w:val="none" w:sz="0" w:space="0" w:color="auto"/>
                      </w:divBdr>
                      <w:divsChild>
                        <w:div w:id="654915859">
                          <w:marLeft w:val="0"/>
                          <w:marRight w:val="0"/>
                          <w:marTop w:val="0"/>
                          <w:marBottom w:val="0"/>
                          <w:divBdr>
                            <w:top w:val="none" w:sz="0" w:space="0" w:color="auto"/>
                            <w:left w:val="none" w:sz="0" w:space="0" w:color="auto"/>
                            <w:bottom w:val="none" w:sz="0" w:space="0" w:color="auto"/>
                            <w:right w:val="none" w:sz="0" w:space="0" w:color="auto"/>
                          </w:divBdr>
                        </w:div>
                        <w:div w:id="85874243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769421943">
          <w:marLeft w:val="0"/>
          <w:marRight w:val="0"/>
          <w:marTop w:val="0"/>
          <w:marBottom w:val="0"/>
          <w:divBdr>
            <w:top w:val="none" w:sz="0" w:space="0" w:color="auto"/>
            <w:left w:val="none" w:sz="0" w:space="0" w:color="auto"/>
            <w:bottom w:val="none" w:sz="0" w:space="0" w:color="auto"/>
            <w:right w:val="none" w:sz="0" w:space="0" w:color="auto"/>
          </w:divBdr>
          <w:divsChild>
            <w:div w:id="933242675">
              <w:marLeft w:val="0"/>
              <w:marRight w:val="0"/>
              <w:marTop w:val="0"/>
              <w:marBottom w:val="0"/>
              <w:divBdr>
                <w:top w:val="none" w:sz="0" w:space="0" w:color="auto"/>
                <w:left w:val="none" w:sz="0" w:space="0" w:color="auto"/>
                <w:bottom w:val="none" w:sz="0" w:space="0" w:color="auto"/>
                <w:right w:val="none" w:sz="0" w:space="0" w:color="auto"/>
              </w:divBdr>
              <w:divsChild>
                <w:div w:id="1181969036">
                  <w:marLeft w:val="0"/>
                  <w:marRight w:val="0"/>
                  <w:marTop w:val="0"/>
                  <w:marBottom w:val="0"/>
                  <w:divBdr>
                    <w:top w:val="none" w:sz="0" w:space="0" w:color="auto"/>
                    <w:left w:val="none" w:sz="0" w:space="0" w:color="auto"/>
                    <w:bottom w:val="none" w:sz="0" w:space="0" w:color="auto"/>
                    <w:right w:val="none" w:sz="0" w:space="0" w:color="auto"/>
                  </w:divBdr>
                  <w:divsChild>
                    <w:div w:id="1312710641">
                      <w:marLeft w:val="0"/>
                      <w:marRight w:val="0"/>
                      <w:marTop w:val="0"/>
                      <w:marBottom w:val="0"/>
                      <w:divBdr>
                        <w:top w:val="none" w:sz="0" w:space="0" w:color="auto"/>
                        <w:left w:val="none" w:sz="0" w:space="0" w:color="auto"/>
                        <w:bottom w:val="none" w:sz="0" w:space="0" w:color="auto"/>
                        <w:right w:val="none" w:sz="0" w:space="0" w:color="auto"/>
                      </w:divBdr>
                      <w:divsChild>
                        <w:div w:id="1639191575">
                          <w:marLeft w:val="0"/>
                          <w:marRight w:val="0"/>
                          <w:marTop w:val="150"/>
                          <w:marBottom w:val="150"/>
                          <w:divBdr>
                            <w:top w:val="none" w:sz="0" w:space="0" w:color="auto"/>
                            <w:left w:val="none" w:sz="0" w:space="0" w:color="auto"/>
                            <w:bottom w:val="none" w:sz="0" w:space="0" w:color="auto"/>
                            <w:right w:val="none" w:sz="0" w:space="0" w:color="auto"/>
                          </w:divBdr>
                        </w:div>
                        <w:div w:id="201202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336564">
              <w:marLeft w:val="0"/>
              <w:marRight w:val="0"/>
              <w:marTop w:val="0"/>
              <w:marBottom w:val="0"/>
              <w:divBdr>
                <w:top w:val="none" w:sz="0" w:space="0" w:color="auto"/>
                <w:left w:val="none" w:sz="0" w:space="0" w:color="auto"/>
                <w:bottom w:val="none" w:sz="0" w:space="0" w:color="auto"/>
                <w:right w:val="none" w:sz="0" w:space="0" w:color="auto"/>
              </w:divBdr>
              <w:divsChild>
                <w:div w:id="1022056099">
                  <w:marLeft w:val="0"/>
                  <w:marRight w:val="0"/>
                  <w:marTop w:val="0"/>
                  <w:marBottom w:val="0"/>
                  <w:divBdr>
                    <w:top w:val="none" w:sz="0" w:space="0" w:color="auto"/>
                    <w:left w:val="none" w:sz="0" w:space="0" w:color="auto"/>
                    <w:bottom w:val="none" w:sz="0" w:space="0" w:color="auto"/>
                    <w:right w:val="none" w:sz="0" w:space="0" w:color="auto"/>
                  </w:divBdr>
                  <w:divsChild>
                    <w:div w:id="2101245204">
                      <w:marLeft w:val="0"/>
                      <w:marRight w:val="0"/>
                      <w:marTop w:val="0"/>
                      <w:marBottom w:val="0"/>
                      <w:divBdr>
                        <w:top w:val="none" w:sz="0" w:space="0" w:color="auto"/>
                        <w:left w:val="none" w:sz="0" w:space="0" w:color="auto"/>
                        <w:bottom w:val="none" w:sz="0" w:space="0" w:color="auto"/>
                        <w:right w:val="none" w:sz="0" w:space="0" w:color="auto"/>
                      </w:divBdr>
                      <w:divsChild>
                        <w:div w:id="569537447">
                          <w:marLeft w:val="0"/>
                          <w:marRight w:val="0"/>
                          <w:marTop w:val="150"/>
                          <w:marBottom w:val="150"/>
                          <w:divBdr>
                            <w:top w:val="none" w:sz="0" w:space="0" w:color="auto"/>
                            <w:left w:val="none" w:sz="0" w:space="0" w:color="auto"/>
                            <w:bottom w:val="none" w:sz="0" w:space="0" w:color="auto"/>
                            <w:right w:val="none" w:sz="0" w:space="0" w:color="auto"/>
                          </w:divBdr>
                        </w:div>
                        <w:div w:id="188805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320205">
              <w:marLeft w:val="0"/>
              <w:marRight w:val="0"/>
              <w:marTop w:val="0"/>
              <w:marBottom w:val="0"/>
              <w:divBdr>
                <w:top w:val="none" w:sz="0" w:space="0" w:color="auto"/>
                <w:left w:val="none" w:sz="0" w:space="0" w:color="auto"/>
                <w:bottom w:val="none" w:sz="0" w:space="0" w:color="auto"/>
                <w:right w:val="none" w:sz="0" w:space="0" w:color="auto"/>
              </w:divBdr>
              <w:divsChild>
                <w:div w:id="1417246157">
                  <w:marLeft w:val="0"/>
                  <w:marRight w:val="0"/>
                  <w:marTop w:val="0"/>
                  <w:marBottom w:val="0"/>
                  <w:divBdr>
                    <w:top w:val="none" w:sz="0" w:space="0" w:color="auto"/>
                    <w:left w:val="none" w:sz="0" w:space="0" w:color="auto"/>
                    <w:bottom w:val="none" w:sz="0" w:space="0" w:color="auto"/>
                    <w:right w:val="none" w:sz="0" w:space="0" w:color="auto"/>
                  </w:divBdr>
                  <w:divsChild>
                    <w:div w:id="855659391">
                      <w:marLeft w:val="0"/>
                      <w:marRight w:val="0"/>
                      <w:marTop w:val="0"/>
                      <w:marBottom w:val="0"/>
                      <w:divBdr>
                        <w:top w:val="none" w:sz="0" w:space="0" w:color="auto"/>
                        <w:left w:val="none" w:sz="0" w:space="0" w:color="auto"/>
                        <w:bottom w:val="none" w:sz="0" w:space="0" w:color="auto"/>
                        <w:right w:val="none" w:sz="0" w:space="0" w:color="auto"/>
                      </w:divBdr>
                      <w:divsChild>
                        <w:div w:id="1393385155">
                          <w:marLeft w:val="0"/>
                          <w:marRight w:val="0"/>
                          <w:marTop w:val="0"/>
                          <w:marBottom w:val="0"/>
                          <w:divBdr>
                            <w:top w:val="none" w:sz="0" w:space="0" w:color="auto"/>
                            <w:left w:val="none" w:sz="0" w:space="0" w:color="auto"/>
                            <w:bottom w:val="none" w:sz="0" w:space="0" w:color="auto"/>
                            <w:right w:val="none" w:sz="0" w:space="0" w:color="auto"/>
                          </w:divBdr>
                        </w:div>
                        <w:div w:id="207605154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541089407">
      <w:bodyDiv w:val="1"/>
      <w:marLeft w:val="0"/>
      <w:marRight w:val="0"/>
      <w:marTop w:val="0"/>
      <w:marBottom w:val="0"/>
      <w:divBdr>
        <w:top w:val="none" w:sz="0" w:space="0" w:color="auto"/>
        <w:left w:val="none" w:sz="0" w:space="0" w:color="auto"/>
        <w:bottom w:val="none" w:sz="0" w:space="0" w:color="auto"/>
        <w:right w:val="none" w:sz="0" w:space="0" w:color="auto"/>
      </w:divBdr>
      <w:divsChild>
        <w:div w:id="479158883">
          <w:marLeft w:val="0"/>
          <w:marRight w:val="0"/>
          <w:marTop w:val="0"/>
          <w:marBottom w:val="0"/>
          <w:divBdr>
            <w:top w:val="none" w:sz="0" w:space="0" w:color="auto"/>
            <w:left w:val="none" w:sz="0" w:space="0" w:color="auto"/>
            <w:bottom w:val="none" w:sz="0" w:space="0" w:color="auto"/>
            <w:right w:val="none" w:sz="0" w:space="0" w:color="auto"/>
          </w:divBdr>
          <w:divsChild>
            <w:div w:id="325474584">
              <w:marLeft w:val="0"/>
              <w:marRight w:val="0"/>
              <w:marTop w:val="0"/>
              <w:marBottom w:val="0"/>
              <w:divBdr>
                <w:top w:val="none" w:sz="0" w:space="0" w:color="auto"/>
                <w:left w:val="none" w:sz="0" w:space="0" w:color="auto"/>
                <w:bottom w:val="none" w:sz="0" w:space="0" w:color="auto"/>
                <w:right w:val="none" w:sz="0" w:space="0" w:color="auto"/>
              </w:divBdr>
              <w:divsChild>
                <w:div w:id="64836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829575">
          <w:marLeft w:val="0"/>
          <w:marRight w:val="0"/>
          <w:marTop w:val="0"/>
          <w:marBottom w:val="0"/>
          <w:divBdr>
            <w:top w:val="none" w:sz="0" w:space="0" w:color="auto"/>
            <w:left w:val="none" w:sz="0" w:space="0" w:color="auto"/>
            <w:bottom w:val="none" w:sz="0" w:space="0" w:color="auto"/>
            <w:right w:val="none" w:sz="0" w:space="0" w:color="auto"/>
          </w:divBdr>
          <w:divsChild>
            <w:div w:id="1414426433">
              <w:marLeft w:val="0"/>
              <w:marRight w:val="0"/>
              <w:marTop w:val="0"/>
              <w:marBottom w:val="0"/>
              <w:divBdr>
                <w:top w:val="none" w:sz="0" w:space="0" w:color="auto"/>
                <w:left w:val="none" w:sz="0" w:space="0" w:color="auto"/>
                <w:bottom w:val="none" w:sz="0" w:space="0" w:color="auto"/>
                <w:right w:val="none" w:sz="0" w:space="0" w:color="auto"/>
              </w:divBdr>
              <w:divsChild>
                <w:div w:id="29322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490848">
      <w:bodyDiv w:val="1"/>
      <w:marLeft w:val="0"/>
      <w:marRight w:val="0"/>
      <w:marTop w:val="0"/>
      <w:marBottom w:val="0"/>
      <w:divBdr>
        <w:top w:val="none" w:sz="0" w:space="0" w:color="auto"/>
        <w:left w:val="none" w:sz="0" w:space="0" w:color="auto"/>
        <w:bottom w:val="none" w:sz="0" w:space="0" w:color="auto"/>
        <w:right w:val="none" w:sz="0" w:space="0" w:color="auto"/>
      </w:divBdr>
      <w:divsChild>
        <w:div w:id="909998670">
          <w:marLeft w:val="0"/>
          <w:marRight w:val="0"/>
          <w:marTop w:val="0"/>
          <w:marBottom w:val="0"/>
          <w:divBdr>
            <w:top w:val="none" w:sz="0" w:space="0" w:color="auto"/>
            <w:left w:val="none" w:sz="0" w:space="0" w:color="auto"/>
            <w:bottom w:val="none" w:sz="0" w:space="0" w:color="auto"/>
            <w:right w:val="none" w:sz="0" w:space="0" w:color="auto"/>
          </w:divBdr>
          <w:divsChild>
            <w:div w:id="622998566">
              <w:marLeft w:val="0"/>
              <w:marRight w:val="0"/>
              <w:marTop w:val="0"/>
              <w:marBottom w:val="0"/>
              <w:divBdr>
                <w:top w:val="none" w:sz="0" w:space="0" w:color="auto"/>
                <w:left w:val="none" w:sz="0" w:space="0" w:color="auto"/>
                <w:bottom w:val="none" w:sz="0" w:space="0" w:color="auto"/>
                <w:right w:val="none" w:sz="0" w:space="0" w:color="auto"/>
              </w:divBdr>
              <w:divsChild>
                <w:div w:id="182427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354398">
          <w:marLeft w:val="0"/>
          <w:marRight w:val="0"/>
          <w:marTop w:val="0"/>
          <w:marBottom w:val="0"/>
          <w:divBdr>
            <w:top w:val="none" w:sz="0" w:space="0" w:color="auto"/>
            <w:left w:val="none" w:sz="0" w:space="0" w:color="auto"/>
            <w:bottom w:val="none" w:sz="0" w:space="0" w:color="auto"/>
            <w:right w:val="none" w:sz="0" w:space="0" w:color="auto"/>
          </w:divBdr>
          <w:divsChild>
            <w:div w:id="1849320507">
              <w:marLeft w:val="0"/>
              <w:marRight w:val="0"/>
              <w:marTop w:val="0"/>
              <w:marBottom w:val="0"/>
              <w:divBdr>
                <w:top w:val="none" w:sz="0" w:space="0" w:color="auto"/>
                <w:left w:val="none" w:sz="0" w:space="0" w:color="auto"/>
                <w:bottom w:val="none" w:sz="0" w:space="0" w:color="auto"/>
                <w:right w:val="none" w:sz="0" w:space="0" w:color="auto"/>
              </w:divBdr>
              <w:divsChild>
                <w:div w:id="106085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066215">
      <w:bodyDiv w:val="1"/>
      <w:marLeft w:val="0"/>
      <w:marRight w:val="0"/>
      <w:marTop w:val="0"/>
      <w:marBottom w:val="0"/>
      <w:divBdr>
        <w:top w:val="none" w:sz="0" w:space="0" w:color="auto"/>
        <w:left w:val="none" w:sz="0" w:space="0" w:color="auto"/>
        <w:bottom w:val="none" w:sz="0" w:space="0" w:color="auto"/>
        <w:right w:val="none" w:sz="0" w:space="0" w:color="auto"/>
      </w:divBdr>
      <w:divsChild>
        <w:div w:id="534729533">
          <w:marLeft w:val="0"/>
          <w:marRight w:val="0"/>
          <w:marTop w:val="0"/>
          <w:marBottom w:val="0"/>
          <w:divBdr>
            <w:top w:val="none" w:sz="0" w:space="0" w:color="auto"/>
            <w:left w:val="none" w:sz="0" w:space="0" w:color="auto"/>
            <w:bottom w:val="none" w:sz="0" w:space="0" w:color="auto"/>
            <w:right w:val="none" w:sz="0" w:space="0" w:color="auto"/>
          </w:divBdr>
          <w:divsChild>
            <w:div w:id="1701856218">
              <w:marLeft w:val="0"/>
              <w:marRight w:val="0"/>
              <w:marTop w:val="0"/>
              <w:marBottom w:val="0"/>
              <w:divBdr>
                <w:top w:val="none" w:sz="0" w:space="0" w:color="auto"/>
                <w:left w:val="none" w:sz="0" w:space="0" w:color="auto"/>
                <w:bottom w:val="none" w:sz="0" w:space="0" w:color="auto"/>
                <w:right w:val="none" w:sz="0" w:space="0" w:color="auto"/>
              </w:divBdr>
              <w:divsChild>
                <w:div w:id="173396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273212">
          <w:marLeft w:val="0"/>
          <w:marRight w:val="0"/>
          <w:marTop w:val="0"/>
          <w:marBottom w:val="0"/>
          <w:divBdr>
            <w:top w:val="none" w:sz="0" w:space="0" w:color="auto"/>
            <w:left w:val="none" w:sz="0" w:space="0" w:color="auto"/>
            <w:bottom w:val="none" w:sz="0" w:space="0" w:color="auto"/>
            <w:right w:val="none" w:sz="0" w:space="0" w:color="auto"/>
          </w:divBdr>
          <w:divsChild>
            <w:div w:id="156311507">
              <w:marLeft w:val="0"/>
              <w:marRight w:val="0"/>
              <w:marTop w:val="0"/>
              <w:marBottom w:val="0"/>
              <w:divBdr>
                <w:top w:val="none" w:sz="0" w:space="0" w:color="auto"/>
                <w:left w:val="none" w:sz="0" w:space="0" w:color="auto"/>
                <w:bottom w:val="none" w:sz="0" w:space="0" w:color="auto"/>
                <w:right w:val="none" w:sz="0" w:space="0" w:color="auto"/>
              </w:divBdr>
              <w:divsChild>
                <w:div w:id="165761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130796">
      <w:bodyDiv w:val="1"/>
      <w:marLeft w:val="0"/>
      <w:marRight w:val="0"/>
      <w:marTop w:val="0"/>
      <w:marBottom w:val="0"/>
      <w:divBdr>
        <w:top w:val="none" w:sz="0" w:space="0" w:color="auto"/>
        <w:left w:val="none" w:sz="0" w:space="0" w:color="auto"/>
        <w:bottom w:val="none" w:sz="0" w:space="0" w:color="auto"/>
        <w:right w:val="none" w:sz="0" w:space="0" w:color="auto"/>
      </w:divBdr>
      <w:divsChild>
        <w:div w:id="409350869">
          <w:marLeft w:val="0"/>
          <w:marRight w:val="0"/>
          <w:marTop w:val="0"/>
          <w:marBottom w:val="0"/>
          <w:divBdr>
            <w:top w:val="none" w:sz="0" w:space="0" w:color="auto"/>
            <w:left w:val="none" w:sz="0" w:space="0" w:color="auto"/>
            <w:bottom w:val="none" w:sz="0" w:space="0" w:color="auto"/>
            <w:right w:val="none" w:sz="0" w:space="0" w:color="auto"/>
          </w:divBdr>
          <w:divsChild>
            <w:div w:id="1813130043">
              <w:marLeft w:val="0"/>
              <w:marRight w:val="0"/>
              <w:marTop w:val="0"/>
              <w:marBottom w:val="0"/>
              <w:divBdr>
                <w:top w:val="none" w:sz="0" w:space="0" w:color="auto"/>
                <w:left w:val="none" w:sz="0" w:space="0" w:color="auto"/>
                <w:bottom w:val="none" w:sz="0" w:space="0" w:color="auto"/>
                <w:right w:val="none" w:sz="0" w:space="0" w:color="auto"/>
              </w:divBdr>
              <w:divsChild>
                <w:div w:id="23797388">
                  <w:marLeft w:val="0"/>
                  <w:marRight w:val="0"/>
                  <w:marTop w:val="0"/>
                  <w:marBottom w:val="0"/>
                  <w:divBdr>
                    <w:top w:val="none" w:sz="0" w:space="0" w:color="auto"/>
                    <w:left w:val="none" w:sz="0" w:space="0" w:color="auto"/>
                    <w:bottom w:val="none" w:sz="0" w:space="0" w:color="auto"/>
                    <w:right w:val="none" w:sz="0" w:space="0" w:color="auto"/>
                  </w:divBdr>
                  <w:divsChild>
                    <w:div w:id="201941336">
                      <w:marLeft w:val="0"/>
                      <w:marRight w:val="0"/>
                      <w:marTop w:val="0"/>
                      <w:marBottom w:val="0"/>
                      <w:divBdr>
                        <w:top w:val="none" w:sz="0" w:space="0" w:color="auto"/>
                        <w:left w:val="none" w:sz="0" w:space="0" w:color="auto"/>
                        <w:bottom w:val="none" w:sz="0" w:space="0" w:color="auto"/>
                        <w:right w:val="none" w:sz="0" w:space="0" w:color="auto"/>
                      </w:divBdr>
                    </w:div>
                    <w:div w:id="374888950">
                      <w:marLeft w:val="0"/>
                      <w:marRight w:val="0"/>
                      <w:marTop w:val="0"/>
                      <w:marBottom w:val="0"/>
                      <w:divBdr>
                        <w:top w:val="none" w:sz="0" w:space="0" w:color="auto"/>
                        <w:left w:val="none" w:sz="0" w:space="0" w:color="auto"/>
                        <w:bottom w:val="none" w:sz="0" w:space="0" w:color="auto"/>
                        <w:right w:val="none" w:sz="0" w:space="0" w:color="auto"/>
                      </w:divBdr>
                    </w:div>
                    <w:div w:id="440540089">
                      <w:marLeft w:val="0"/>
                      <w:marRight w:val="0"/>
                      <w:marTop w:val="0"/>
                      <w:marBottom w:val="0"/>
                      <w:divBdr>
                        <w:top w:val="none" w:sz="0" w:space="0" w:color="auto"/>
                        <w:left w:val="none" w:sz="0" w:space="0" w:color="auto"/>
                        <w:bottom w:val="none" w:sz="0" w:space="0" w:color="auto"/>
                        <w:right w:val="none" w:sz="0" w:space="0" w:color="auto"/>
                      </w:divBdr>
                    </w:div>
                    <w:div w:id="485901790">
                      <w:marLeft w:val="0"/>
                      <w:marRight w:val="0"/>
                      <w:marTop w:val="0"/>
                      <w:marBottom w:val="0"/>
                      <w:divBdr>
                        <w:top w:val="none" w:sz="0" w:space="0" w:color="auto"/>
                        <w:left w:val="none" w:sz="0" w:space="0" w:color="auto"/>
                        <w:bottom w:val="none" w:sz="0" w:space="0" w:color="auto"/>
                        <w:right w:val="none" w:sz="0" w:space="0" w:color="auto"/>
                      </w:divBdr>
                    </w:div>
                    <w:div w:id="496311842">
                      <w:marLeft w:val="0"/>
                      <w:marRight w:val="0"/>
                      <w:marTop w:val="0"/>
                      <w:marBottom w:val="0"/>
                      <w:divBdr>
                        <w:top w:val="none" w:sz="0" w:space="0" w:color="auto"/>
                        <w:left w:val="none" w:sz="0" w:space="0" w:color="auto"/>
                        <w:bottom w:val="none" w:sz="0" w:space="0" w:color="auto"/>
                        <w:right w:val="none" w:sz="0" w:space="0" w:color="auto"/>
                      </w:divBdr>
                    </w:div>
                    <w:div w:id="568148675">
                      <w:marLeft w:val="0"/>
                      <w:marRight w:val="0"/>
                      <w:marTop w:val="0"/>
                      <w:marBottom w:val="0"/>
                      <w:divBdr>
                        <w:top w:val="none" w:sz="0" w:space="0" w:color="auto"/>
                        <w:left w:val="none" w:sz="0" w:space="0" w:color="auto"/>
                        <w:bottom w:val="none" w:sz="0" w:space="0" w:color="auto"/>
                        <w:right w:val="none" w:sz="0" w:space="0" w:color="auto"/>
                      </w:divBdr>
                    </w:div>
                    <w:div w:id="573970213">
                      <w:marLeft w:val="0"/>
                      <w:marRight w:val="0"/>
                      <w:marTop w:val="0"/>
                      <w:marBottom w:val="0"/>
                      <w:divBdr>
                        <w:top w:val="none" w:sz="0" w:space="0" w:color="auto"/>
                        <w:left w:val="none" w:sz="0" w:space="0" w:color="auto"/>
                        <w:bottom w:val="none" w:sz="0" w:space="0" w:color="auto"/>
                        <w:right w:val="none" w:sz="0" w:space="0" w:color="auto"/>
                      </w:divBdr>
                    </w:div>
                    <w:div w:id="646010153">
                      <w:marLeft w:val="0"/>
                      <w:marRight w:val="0"/>
                      <w:marTop w:val="0"/>
                      <w:marBottom w:val="0"/>
                      <w:divBdr>
                        <w:top w:val="none" w:sz="0" w:space="0" w:color="auto"/>
                        <w:left w:val="none" w:sz="0" w:space="0" w:color="auto"/>
                        <w:bottom w:val="none" w:sz="0" w:space="0" w:color="auto"/>
                        <w:right w:val="none" w:sz="0" w:space="0" w:color="auto"/>
                      </w:divBdr>
                    </w:div>
                    <w:div w:id="762341995">
                      <w:marLeft w:val="0"/>
                      <w:marRight w:val="0"/>
                      <w:marTop w:val="0"/>
                      <w:marBottom w:val="0"/>
                      <w:divBdr>
                        <w:top w:val="none" w:sz="0" w:space="0" w:color="auto"/>
                        <w:left w:val="none" w:sz="0" w:space="0" w:color="auto"/>
                        <w:bottom w:val="none" w:sz="0" w:space="0" w:color="auto"/>
                        <w:right w:val="none" w:sz="0" w:space="0" w:color="auto"/>
                      </w:divBdr>
                    </w:div>
                    <w:div w:id="1008486206">
                      <w:marLeft w:val="0"/>
                      <w:marRight w:val="0"/>
                      <w:marTop w:val="0"/>
                      <w:marBottom w:val="0"/>
                      <w:divBdr>
                        <w:top w:val="none" w:sz="0" w:space="0" w:color="auto"/>
                        <w:left w:val="none" w:sz="0" w:space="0" w:color="auto"/>
                        <w:bottom w:val="none" w:sz="0" w:space="0" w:color="auto"/>
                        <w:right w:val="none" w:sz="0" w:space="0" w:color="auto"/>
                      </w:divBdr>
                    </w:div>
                    <w:div w:id="1091001284">
                      <w:marLeft w:val="0"/>
                      <w:marRight w:val="0"/>
                      <w:marTop w:val="0"/>
                      <w:marBottom w:val="0"/>
                      <w:divBdr>
                        <w:top w:val="none" w:sz="0" w:space="0" w:color="auto"/>
                        <w:left w:val="none" w:sz="0" w:space="0" w:color="auto"/>
                        <w:bottom w:val="none" w:sz="0" w:space="0" w:color="auto"/>
                        <w:right w:val="none" w:sz="0" w:space="0" w:color="auto"/>
                      </w:divBdr>
                    </w:div>
                    <w:div w:id="1163356592">
                      <w:marLeft w:val="0"/>
                      <w:marRight w:val="0"/>
                      <w:marTop w:val="0"/>
                      <w:marBottom w:val="0"/>
                      <w:divBdr>
                        <w:top w:val="none" w:sz="0" w:space="0" w:color="auto"/>
                        <w:left w:val="none" w:sz="0" w:space="0" w:color="auto"/>
                        <w:bottom w:val="none" w:sz="0" w:space="0" w:color="auto"/>
                        <w:right w:val="none" w:sz="0" w:space="0" w:color="auto"/>
                      </w:divBdr>
                    </w:div>
                    <w:div w:id="1585333040">
                      <w:marLeft w:val="0"/>
                      <w:marRight w:val="0"/>
                      <w:marTop w:val="0"/>
                      <w:marBottom w:val="0"/>
                      <w:divBdr>
                        <w:top w:val="none" w:sz="0" w:space="0" w:color="auto"/>
                        <w:left w:val="none" w:sz="0" w:space="0" w:color="auto"/>
                        <w:bottom w:val="none" w:sz="0" w:space="0" w:color="auto"/>
                        <w:right w:val="none" w:sz="0" w:space="0" w:color="auto"/>
                      </w:divBdr>
                    </w:div>
                    <w:div w:id="1670061863">
                      <w:marLeft w:val="0"/>
                      <w:marRight w:val="0"/>
                      <w:marTop w:val="0"/>
                      <w:marBottom w:val="0"/>
                      <w:divBdr>
                        <w:top w:val="none" w:sz="0" w:space="0" w:color="auto"/>
                        <w:left w:val="none" w:sz="0" w:space="0" w:color="auto"/>
                        <w:bottom w:val="none" w:sz="0" w:space="0" w:color="auto"/>
                        <w:right w:val="none" w:sz="0" w:space="0" w:color="auto"/>
                      </w:divBdr>
                    </w:div>
                    <w:div w:id="1785541568">
                      <w:marLeft w:val="0"/>
                      <w:marRight w:val="0"/>
                      <w:marTop w:val="0"/>
                      <w:marBottom w:val="0"/>
                      <w:divBdr>
                        <w:top w:val="none" w:sz="0" w:space="0" w:color="auto"/>
                        <w:left w:val="none" w:sz="0" w:space="0" w:color="auto"/>
                        <w:bottom w:val="none" w:sz="0" w:space="0" w:color="auto"/>
                        <w:right w:val="none" w:sz="0" w:space="0" w:color="auto"/>
                      </w:divBdr>
                    </w:div>
                    <w:div w:id="1821994300">
                      <w:marLeft w:val="0"/>
                      <w:marRight w:val="0"/>
                      <w:marTop w:val="0"/>
                      <w:marBottom w:val="0"/>
                      <w:divBdr>
                        <w:top w:val="none" w:sz="0" w:space="0" w:color="auto"/>
                        <w:left w:val="none" w:sz="0" w:space="0" w:color="auto"/>
                        <w:bottom w:val="none" w:sz="0" w:space="0" w:color="auto"/>
                        <w:right w:val="none" w:sz="0" w:space="0" w:color="auto"/>
                      </w:divBdr>
                    </w:div>
                    <w:div w:id="182827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898097">
          <w:marLeft w:val="0"/>
          <w:marRight w:val="0"/>
          <w:marTop w:val="0"/>
          <w:marBottom w:val="0"/>
          <w:divBdr>
            <w:top w:val="none" w:sz="0" w:space="0" w:color="auto"/>
            <w:left w:val="none" w:sz="0" w:space="0" w:color="auto"/>
            <w:bottom w:val="none" w:sz="0" w:space="0" w:color="auto"/>
            <w:right w:val="none" w:sz="0" w:space="0" w:color="auto"/>
          </w:divBdr>
          <w:divsChild>
            <w:div w:id="827208510">
              <w:marLeft w:val="0"/>
              <w:marRight w:val="0"/>
              <w:marTop w:val="0"/>
              <w:marBottom w:val="0"/>
              <w:divBdr>
                <w:top w:val="none" w:sz="0" w:space="0" w:color="auto"/>
                <w:left w:val="none" w:sz="0" w:space="0" w:color="auto"/>
                <w:bottom w:val="none" w:sz="0" w:space="0" w:color="auto"/>
                <w:right w:val="none" w:sz="0" w:space="0" w:color="auto"/>
              </w:divBdr>
              <w:divsChild>
                <w:div w:id="641076483">
                  <w:marLeft w:val="0"/>
                  <w:marRight w:val="0"/>
                  <w:marTop w:val="0"/>
                  <w:marBottom w:val="0"/>
                  <w:divBdr>
                    <w:top w:val="none" w:sz="0" w:space="0" w:color="auto"/>
                    <w:left w:val="none" w:sz="0" w:space="0" w:color="auto"/>
                    <w:bottom w:val="none" w:sz="0" w:space="0" w:color="auto"/>
                    <w:right w:val="none" w:sz="0" w:space="0" w:color="auto"/>
                  </w:divBdr>
                  <w:divsChild>
                    <w:div w:id="747924679">
                      <w:marLeft w:val="0"/>
                      <w:marRight w:val="0"/>
                      <w:marTop w:val="0"/>
                      <w:marBottom w:val="0"/>
                      <w:divBdr>
                        <w:top w:val="none" w:sz="0" w:space="0" w:color="auto"/>
                        <w:left w:val="none" w:sz="0" w:space="0" w:color="auto"/>
                        <w:bottom w:val="none" w:sz="0" w:space="0" w:color="auto"/>
                        <w:right w:val="none" w:sz="0" w:space="0" w:color="auto"/>
                      </w:divBdr>
                    </w:div>
                    <w:div w:id="793405915">
                      <w:marLeft w:val="0"/>
                      <w:marRight w:val="0"/>
                      <w:marTop w:val="0"/>
                      <w:marBottom w:val="0"/>
                      <w:divBdr>
                        <w:top w:val="none" w:sz="0" w:space="0" w:color="auto"/>
                        <w:left w:val="none" w:sz="0" w:space="0" w:color="auto"/>
                        <w:bottom w:val="none" w:sz="0" w:space="0" w:color="auto"/>
                        <w:right w:val="none" w:sz="0" w:space="0" w:color="auto"/>
                      </w:divBdr>
                    </w:div>
                    <w:div w:id="202928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1011988">
      <w:bodyDiv w:val="1"/>
      <w:marLeft w:val="0"/>
      <w:marRight w:val="0"/>
      <w:marTop w:val="0"/>
      <w:marBottom w:val="0"/>
      <w:divBdr>
        <w:top w:val="none" w:sz="0" w:space="0" w:color="auto"/>
        <w:left w:val="none" w:sz="0" w:space="0" w:color="auto"/>
        <w:bottom w:val="none" w:sz="0" w:space="0" w:color="auto"/>
        <w:right w:val="none" w:sz="0" w:space="0" w:color="auto"/>
      </w:divBdr>
    </w:div>
    <w:div w:id="1135294745">
      <w:bodyDiv w:val="1"/>
      <w:marLeft w:val="0"/>
      <w:marRight w:val="0"/>
      <w:marTop w:val="0"/>
      <w:marBottom w:val="0"/>
      <w:divBdr>
        <w:top w:val="none" w:sz="0" w:space="0" w:color="auto"/>
        <w:left w:val="none" w:sz="0" w:space="0" w:color="auto"/>
        <w:bottom w:val="none" w:sz="0" w:space="0" w:color="auto"/>
        <w:right w:val="none" w:sz="0" w:space="0" w:color="auto"/>
      </w:divBdr>
    </w:div>
    <w:div w:id="1148979618">
      <w:bodyDiv w:val="1"/>
      <w:marLeft w:val="0"/>
      <w:marRight w:val="0"/>
      <w:marTop w:val="0"/>
      <w:marBottom w:val="0"/>
      <w:divBdr>
        <w:top w:val="none" w:sz="0" w:space="0" w:color="auto"/>
        <w:left w:val="none" w:sz="0" w:space="0" w:color="auto"/>
        <w:bottom w:val="none" w:sz="0" w:space="0" w:color="auto"/>
        <w:right w:val="none" w:sz="0" w:space="0" w:color="auto"/>
      </w:divBdr>
    </w:div>
    <w:div w:id="1277641506">
      <w:bodyDiv w:val="1"/>
      <w:marLeft w:val="0"/>
      <w:marRight w:val="0"/>
      <w:marTop w:val="0"/>
      <w:marBottom w:val="0"/>
      <w:divBdr>
        <w:top w:val="none" w:sz="0" w:space="0" w:color="auto"/>
        <w:left w:val="none" w:sz="0" w:space="0" w:color="auto"/>
        <w:bottom w:val="none" w:sz="0" w:space="0" w:color="auto"/>
        <w:right w:val="none" w:sz="0" w:space="0" w:color="auto"/>
      </w:divBdr>
      <w:divsChild>
        <w:div w:id="1467509232">
          <w:marLeft w:val="0"/>
          <w:marRight w:val="0"/>
          <w:marTop w:val="0"/>
          <w:marBottom w:val="0"/>
          <w:divBdr>
            <w:top w:val="none" w:sz="0" w:space="0" w:color="auto"/>
            <w:left w:val="none" w:sz="0" w:space="0" w:color="auto"/>
            <w:bottom w:val="none" w:sz="0" w:space="0" w:color="auto"/>
            <w:right w:val="none" w:sz="0" w:space="0" w:color="auto"/>
          </w:divBdr>
          <w:divsChild>
            <w:div w:id="580989427">
              <w:marLeft w:val="0"/>
              <w:marRight w:val="0"/>
              <w:marTop w:val="0"/>
              <w:marBottom w:val="0"/>
              <w:divBdr>
                <w:top w:val="none" w:sz="0" w:space="0" w:color="auto"/>
                <w:left w:val="none" w:sz="0" w:space="0" w:color="auto"/>
                <w:bottom w:val="none" w:sz="0" w:space="0" w:color="auto"/>
                <w:right w:val="none" w:sz="0" w:space="0" w:color="auto"/>
              </w:divBdr>
              <w:divsChild>
                <w:div w:id="91863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454704">
          <w:marLeft w:val="0"/>
          <w:marRight w:val="0"/>
          <w:marTop w:val="0"/>
          <w:marBottom w:val="0"/>
          <w:divBdr>
            <w:top w:val="none" w:sz="0" w:space="0" w:color="auto"/>
            <w:left w:val="none" w:sz="0" w:space="0" w:color="auto"/>
            <w:bottom w:val="none" w:sz="0" w:space="0" w:color="auto"/>
            <w:right w:val="none" w:sz="0" w:space="0" w:color="auto"/>
          </w:divBdr>
          <w:divsChild>
            <w:div w:id="1195773128">
              <w:marLeft w:val="0"/>
              <w:marRight w:val="0"/>
              <w:marTop w:val="0"/>
              <w:marBottom w:val="0"/>
              <w:divBdr>
                <w:top w:val="none" w:sz="0" w:space="0" w:color="auto"/>
                <w:left w:val="none" w:sz="0" w:space="0" w:color="auto"/>
                <w:bottom w:val="none" w:sz="0" w:space="0" w:color="auto"/>
                <w:right w:val="none" w:sz="0" w:space="0" w:color="auto"/>
              </w:divBdr>
              <w:divsChild>
                <w:div w:id="111937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005511">
      <w:bodyDiv w:val="1"/>
      <w:marLeft w:val="0"/>
      <w:marRight w:val="0"/>
      <w:marTop w:val="0"/>
      <w:marBottom w:val="0"/>
      <w:divBdr>
        <w:top w:val="none" w:sz="0" w:space="0" w:color="auto"/>
        <w:left w:val="none" w:sz="0" w:space="0" w:color="auto"/>
        <w:bottom w:val="none" w:sz="0" w:space="0" w:color="auto"/>
        <w:right w:val="none" w:sz="0" w:space="0" w:color="auto"/>
      </w:divBdr>
    </w:div>
    <w:div w:id="1330675142">
      <w:bodyDiv w:val="1"/>
      <w:marLeft w:val="0"/>
      <w:marRight w:val="0"/>
      <w:marTop w:val="0"/>
      <w:marBottom w:val="0"/>
      <w:divBdr>
        <w:top w:val="none" w:sz="0" w:space="0" w:color="auto"/>
        <w:left w:val="none" w:sz="0" w:space="0" w:color="auto"/>
        <w:bottom w:val="none" w:sz="0" w:space="0" w:color="auto"/>
        <w:right w:val="none" w:sz="0" w:space="0" w:color="auto"/>
      </w:divBdr>
      <w:divsChild>
        <w:div w:id="296952780">
          <w:marLeft w:val="0"/>
          <w:marRight w:val="0"/>
          <w:marTop w:val="0"/>
          <w:marBottom w:val="0"/>
          <w:divBdr>
            <w:top w:val="none" w:sz="0" w:space="0" w:color="auto"/>
            <w:left w:val="none" w:sz="0" w:space="0" w:color="auto"/>
            <w:bottom w:val="none" w:sz="0" w:space="0" w:color="auto"/>
            <w:right w:val="none" w:sz="0" w:space="0" w:color="auto"/>
          </w:divBdr>
          <w:divsChild>
            <w:div w:id="1746799937">
              <w:marLeft w:val="0"/>
              <w:marRight w:val="0"/>
              <w:marTop w:val="0"/>
              <w:marBottom w:val="0"/>
              <w:divBdr>
                <w:top w:val="none" w:sz="0" w:space="0" w:color="auto"/>
                <w:left w:val="none" w:sz="0" w:space="0" w:color="auto"/>
                <w:bottom w:val="none" w:sz="0" w:space="0" w:color="auto"/>
                <w:right w:val="none" w:sz="0" w:space="0" w:color="auto"/>
              </w:divBdr>
              <w:divsChild>
                <w:div w:id="99965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858723">
          <w:marLeft w:val="0"/>
          <w:marRight w:val="0"/>
          <w:marTop w:val="0"/>
          <w:marBottom w:val="0"/>
          <w:divBdr>
            <w:top w:val="none" w:sz="0" w:space="0" w:color="auto"/>
            <w:left w:val="none" w:sz="0" w:space="0" w:color="auto"/>
            <w:bottom w:val="none" w:sz="0" w:space="0" w:color="auto"/>
            <w:right w:val="none" w:sz="0" w:space="0" w:color="auto"/>
          </w:divBdr>
          <w:divsChild>
            <w:div w:id="1937513948">
              <w:marLeft w:val="0"/>
              <w:marRight w:val="0"/>
              <w:marTop w:val="0"/>
              <w:marBottom w:val="0"/>
              <w:divBdr>
                <w:top w:val="none" w:sz="0" w:space="0" w:color="auto"/>
                <w:left w:val="none" w:sz="0" w:space="0" w:color="auto"/>
                <w:bottom w:val="none" w:sz="0" w:space="0" w:color="auto"/>
                <w:right w:val="none" w:sz="0" w:space="0" w:color="auto"/>
              </w:divBdr>
              <w:divsChild>
                <w:div w:id="1115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315180">
          <w:marLeft w:val="0"/>
          <w:marRight w:val="0"/>
          <w:marTop w:val="0"/>
          <w:marBottom w:val="0"/>
          <w:divBdr>
            <w:top w:val="none" w:sz="0" w:space="0" w:color="auto"/>
            <w:left w:val="none" w:sz="0" w:space="0" w:color="auto"/>
            <w:bottom w:val="none" w:sz="0" w:space="0" w:color="auto"/>
            <w:right w:val="none" w:sz="0" w:space="0" w:color="auto"/>
          </w:divBdr>
          <w:divsChild>
            <w:div w:id="573206365">
              <w:marLeft w:val="0"/>
              <w:marRight w:val="0"/>
              <w:marTop w:val="0"/>
              <w:marBottom w:val="0"/>
              <w:divBdr>
                <w:top w:val="none" w:sz="0" w:space="0" w:color="auto"/>
                <w:left w:val="none" w:sz="0" w:space="0" w:color="auto"/>
                <w:bottom w:val="none" w:sz="0" w:space="0" w:color="auto"/>
                <w:right w:val="none" w:sz="0" w:space="0" w:color="auto"/>
              </w:divBdr>
              <w:divsChild>
                <w:div w:id="123739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840159">
      <w:bodyDiv w:val="1"/>
      <w:marLeft w:val="0"/>
      <w:marRight w:val="0"/>
      <w:marTop w:val="0"/>
      <w:marBottom w:val="0"/>
      <w:divBdr>
        <w:top w:val="none" w:sz="0" w:space="0" w:color="auto"/>
        <w:left w:val="none" w:sz="0" w:space="0" w:color="auto"/>
        <w:bottom w:val="none" w:sz="0" w:space="0" w:color="auto"/>
        <w:right w:val="none" w:sz="0" w:space="0" w:color="auto"/>
      </w:divBdr>
      <w:divsChild>
        <w:div w:id="291597068">
          <w:marLeft w:val="0"/>
          <w:marRight w:val="0"/>
          <w:marTop w:val="0"/>
          <w:marBottom w:val="0"/>
          <w:divBdr>
            <w:top w:val="single" w:sz="6" w:space="0" w:color="DBDBDB"/>
            <w:left w:val="none" w:sz="0" w:space="0" w:color="auto"/>
            <w:bottom w:val="single" w:sz="6" w:space="0" w:color="DBDBDB"/>
            <w:right w:val="none" w:sz="0" w:space="0" w:color="auto"/>
          </w:divBdr>
          <w:divsChild>
            <w:div w:id="549342931">
              <w:marLeft w:val="0"/>
              <w:marRight w:val="0"/>
              <w:marTop w:val="0"/>
              <w:marBottom w:val="0"/>
              <w:divBdr>
                <w:top w:val="none" w:sz="0" w:space="0" w:color="auto"/>
                <w:left w:val="none" w:sz="0" w:space="0" w:color="auto"/>
                <w:bottom w:val="none" w:sz="0" w:space="0" w:color="auto"/>
                <w:right w:val="none" w:sz="0" w:space="0" w:color="auto"/>
              </w:divBdr>
              <w:divsChild>
                <w:div w:id="924193777">
                  <w:marLeft w:val="0"/>
                  <w:marRight w:val="0"/>
                  <w:marTop w:val="0"/>
                  <w:marBottom w:val="0"/>
                  <w:divBdr>
                    <w:top w:val="none" w:sz="0" w:space="0" w:color="auto"/>
                    <w:left w:val="none" w:sz="0" w:space="0" w:color="auto"/>
                    <w:bottom w:val="none" w:sz="0" w:space="0" w:color="auto"/>
                    <w:right w:val="none" w:sz="0" w:space="0" w:color="auto"/>
                  </w:divBdr>
                </w:div>
                <w:div w:id="1250775551">
                  <w:marLeft w:val="-15"/>
                  <w:marRight w:val="-15"/>
                  <w:marTop w:val="0"/>
                  <w:marBottom w:val="0"/>
                  <w:divBdr>
                    <w:top w:val="none" w:sz="0" w:space="0" w:color="auto"/>
                    <w:left w:val="none" w:sz="0" w:space="0" w:color="auto"/>
                    <w:bottom w:val="none" w:sz="0" w:space="0" w:color="auto"/>
                    <w:right w:val="none" w:sz="0" w:space="0" w:color="auto"/>
                  </w:divBdr>
                </w:div>
                <w:div w:id="1294945244">
                  <w:marLeft w:val="0"/>
                  <w:marRight w:val="0"/>
                  <w:marTop w:val="0"/>
                  <w:marBottom w:val="0"/>
                  <w:divBdr>
                    <w:top w:val="none" w:sz="0" w:space="0" w:color="auto"/>
                    <w:left w:val="none" w:sz="0" w:space="0" w:color="auto"/>
                    <w:bottom w:val="none" w:sz="0" w:space="0" w:color="auto"/>
                    <w:right w:val="none" w:sz="0" w:space="0" w:color="auto"/>
                  </w:divBdr>
                  <w:divsChild>
                    <w:div w:id="33753851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735534">
      <w:bodyDiv w:val="1"/>
      <w:marLeft w:val="0"/>
      <w:marRight w:val="0"/>
      <w:marTop w:val="0"/>
      <w:marBottom w:val="0"/>
      <w:divBdr>
        <w:top w:val="none" w:sz="0" w:space="0" w:color="auto"/>
        <w:left w:val="none" w:sz="0" w:space="0" w:color="auto"/>
        <w:bottom w:val="none" w:sz="0" w:space="0" w:color="auto"/>
        <w:right w:val="none" w:sz="0" w:space="0" w:color="auto"/>
      </w:divBdr>
    </w:div>
    <w:div w:id="1489711520">
      <w:bodyDiv w:val="1"/>
      <w:marLeft w:val="0"/>
      <w:marRight w:val="0"/>
      <w:marTop w:val="0"/>
      <w:marBottom w:val="0"/>
      <w:divBdr>
        <w:top w:val="none" w:sz="0" w:space="0" w:color="auto"/>
        <w:left w:val="none" w:sz="0" w:space="0" w:color="auto"/>
        <w:bottom w:val="none" w:sz="0" w:space="0" w:color="auto"/>
        <w:right w:val="none" w:sz="0" w:space="0" w:color="auto"/>
      </w:divBdr>
    </w:div>
    <w:div w:id="1577664662">
      <w:bodyDiv w:val="1"/>
      <w:marLeft w:val="0"/>
      <w:marRight w:val="0"/>
      <w:marTop w:val="0"/>
      <w:marBottom w:val="0"/>
      <w:divBdr>
        <w:top w:val="none" w:sz="0" w:space="0" w:color="auto"/>
        <w:left w:val="none" w:sz="0" w:space="0" w:color="auto"/>
        <w:bottom w:val="none" w:sz="0" w:space="0" w:color="auto"/>
        <w:right w:val="none" w:sz="0" w:space="0" w:color="auto"/>
      </w:divBdr>
    </w:div>
    <w:div w:id="1688288306">
      <w:bodyDiv w:val="1"/>
      <w:marLeft w:val="0"/>
      <w:marRight w:val="0"/>
      <w:marTop w:val="0"/>
      <w:marBottom w:val="0"/>
      <w:divBdr>
        <w:top w:val="none" w:sz="0" w:space="0" w:color="auto"/>
        <w:left w:val="none" w:sz="0" w:space="0" w:color="auto"/>
        <w:bottom w:val="none" w:sz="0" w:space="0" w:color="auto"/>
        <w:right w:val="none" w:sz="0" w:space="0" w:color="auto"/>
      </w:divBdr>
      <w:divsChild>
        <w:div w:id="50542516">
          <w:marLeft w:val="0"/>
          <w:marRight w:val="0"/>
          <w:marTop w:val="0"/>
          <w:marBottom w:val="0"/>
          <w:divBdr>
            <w:top w:val="none" w:sz="0" w:space="0" w:color="auto"/>
            <w:left w:val="none" w:sz="0" w:space="0" w:color="auto"/>
            <w:bottom w:val="none" w:sz="0" w:space="0" w:color="auto"/>
            <w:right w:val="none" w:sz="0" w:space="0" w:color="auto"/>
          </w:divBdr>
          <w:divsChild>
            <w:div w:id="1245728216">
              <w:marLeft w:val="0"/>
              <w:marRight w:val="0"/>
              <w:marTop w:val="0"/>
              <w:marBottom w:val="0"/>
              <w:divBdr>
                <w:top w:val="none" w:sz="0" w:space="0" w:color="auto"/>
                <w:left w:val="none" w:sz="0" w:space="0" w:color="auto"/>
                <w:bottom w:val="none" w:sz="0" w:space="0" w:color="auto"/>
                <w:right w:val="none" w:sz="0" w:space="0" w:color="auto"/>
              </w:divBdr>
            </w:div>
          </w:divsChild>
        </w:div>
        <w:div w:id="82532374">
          <w:marLeft w:val="0"/>
          <w:marRight w:val="0"/>
          <w:marTop w:val="0"/>
          <w:marBottom w:val="0"/>
          <w:divBdr>
            <w:top w:val="none" w:sz="0" w:space="0" w:color="auto"/>
            <w:left w:val="none" w:sz="0" w:space="0" w:color="auto"/>
            <w:bottom w:val="none" w:sz="0" w:space="0" w:color="auto"/>
            <w:right w:val="none" w:sz="0" w:space="0" w:color="auto"/>
          </w:divBdr>
          <w:divsChild>
            <w:div w:id="68892265">
              <w:marLeft w:val="0"/>
              <w:marRight w:val="0"/>
              <w:marTop w:val="0"/>
              <w:marBottom w:val="0"/>
              <w:divBdr>
                <w:top w:val="none" w:sz="0" w:space="0" w:color="auto"/>
                <w:left w:val="none" w:sz="0" w:space="0" w:color="auto"/>
                <w:bottom w:val="none" w:sz="0" w:space="0" w:color="auto"/>
                <w:right w:val="none" w:sz="0" w:space="0" w:color="auto"/>
              </w:divBdr>
            </w:div>
          </w:divsChild>
        </w:div>
        <w:div w:id="93332499">
          <w:marLeft w:val="0"/>
          <w:marRight w:val="360"/>
          <w:marTop w:val="0"/>
          <w:marBottom w:val="360"/>
          <w:divBdr>
            <w:top w:val="none" w:sz="0" w:space="0" w:color="auto"/>
            <w:left w:val="none" w:sz="0" w:space="0" w:color="auto"/>
            <w:bottom w:val="none" w:sz="0" w:space="0" w:color="auto"/>
            <w:right w:val="none" w:sz="0" w:space="0" w:color="auto"/>
          </w:divBdr>
          <w:divsChild>
            <w:div w:id="1451702556">
              <w:marLeft w:val="0"/>
              <w:marRight w:val="0"/>
              <w:marTop w:val="0"/>
              <w:marBottom w:val="0"/>
              <w:divBdr>
                <w:top w:val="none" w:sz="0" w:space="0" w:color="auto"/>
                <w:left w:val="none" w:sz="0" w:space="0" w:color="auto"/>
                <w:bottom w:val="none" w:sz="0" w:space="0" w:color="auto"/>
                <w:right w:val="none" w:sz="0" w:space="0" w:color="auto"/>
              </w:divBdr>
              <w:divsChild>
                <w:div w:id="1176728830">
                  <w:marLeft w:val="0"/>
                  <w:marRight w:val="0"/>
                  <w:marTop w:val="0"/>
                  <w:marBottom w:val="0"/>
                  <w:divBdr>
                    <w:top w:val="none" w:sz="0" w:space="0" w:color="auto"/>
                    <w:left w:val="none" w:sz="0" w:space="0" w:color="auto"/>
                    <w:bottom w:val="none" w:sz="0" w:space="0" w:color="auto"/>
                    <w:right w:val="none" w:sz="0" w:space="0" w:color="auto"/>
                  </w:divBdr>
                  <w:divsChild>
                    <w:div w:id="1246920518">
                      <w:marLeft w:val="0"/>
                      <w:marRight w:val="0"/>
                      <w:marTop w:val="0"/>
                      <w:marBottom w:val="0"/>
                      <w:divBdr>
                        <w:top w:val="none" w:sz="0" w:space="0" w:color="auto"/>
                        <w:left w:val="none" w:sz="0" w:space="0" w:color="auto"/>
                        <w:bottom w:val="none" w:sz="0" w:space="0" w:color="auto"/>
                        <w:right w:val="none" w:sz="0" w:space="0" w:color="auto"/>
                      </w:divBdr>
                      <w:divsChild>
                        <w:div w:id="519665858">
                          <w:marLeft w:val="0"/>
                          <w:marRight w:val="0"/>
                          <w:marTop w:val="120"/>
                          <w:marBottom w:val="0"/>
                          <w:divBdr>
                            <w:top w:val="none" w:sz="0" w:space="0" w:color="auto"/>
                            <w:left w:val="none" w:sz="0" w:space="0" w:color="auto"/>
                            <w:bottom w:val="none" w:sz="0" w:space="0" w:color="auto"/>
                            <w:right w:val="none" w:sz="0" w:space="0" w:color="auto"/>
                          </w:divBdr>
                          <w:divsChild>
                            <w:div w:id="1401095586">
                              <w:marLeft w:val="0"/>
                              <w:marRight w:val="0"/>
                              <w:marTop w:val="0"/>
                              <w:marBottom w:val="0"/>
                              <w:divBdr>
                                <w:top w:val="none" w:sz="0" w:space="0" w:color="auto"/>
                                <w:left w:val="none" w:sz="0" w:space="0" w:color="auto"/>
                                <w:bottom w:val="none" w:sz="0" w:space="0" w:color="auto"/>
                                <w:right w:val="none" w:sz="0" w:space="0" w:color="auto"/>
                              </w:divBdr>
                              <w:divsChild>
                                <w:div w:id="204979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840081">
                          <w:marLeft w:val="0"/>
                          <w:marRight w:val="0"/>
                          <w:marTop w:val="0"/>
                          <w:marBottom w:val="0"/>
                          <w:divBdr>
                            <w:top w:val="none" w:sz="0" w:space="0" w:color="auto"/>
                            <w:left w:val="none" w:sz="0" w:space="0" w:color="auto"/>
                            <w:bottom w:val="none" w:sz="0" w:space="0" w:color="auto"/>
                            <w:right w:val="none" w:sz="0" w:space="0" w:color="auto"/>
                          </w:divBdr>
                        </w:div>
                      </w:divsChild>
                    </w:div>
                    <w:div w:id="1460608505">
                      <w:marLeft w:val="0"/>
                      <w:marRight w:val="0"/>
                      <w:marTop w:val="0"/>
                      <w:marBottom w:val="240"/>
                      <w:divBdr>
                        <w:top w:val="none" w:sz="0" w:space="0" w:color="auto"/>
                        <w:left w:val="none" w:sz="0" w:space="0" w:color="auto"/>
                        <w:bottom w:val="none" w:sz="0" w:space="0" w:color="auto"/>
                        <w:right w:val="none" w:sz="0" w:space="0" w:color="auto"/>
                      </w:divBdr>
                      <w:divsChild>
                        <w:div w:id="208502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54934">
          <w:marLeft w:val="0"/>
          <w:marRight w:val="0"/>
          <w:marTop w:val="0"/>
          <w:marBottom w:val="0"/>
          <w:divBdr>
            <w:top w:val="none" w:sz="0" w:space="0" w:color="auto"/>
            <w:left w:val="none" w:sz="0" w:space="0" w:color="auto"/>
            <w:bottom w:val="none" w:sz="0" w:space="0" w:color="auto"/>
            <w:right w:val="none" w:sz="0" w:space="0" w:color="auto"/>
          </w:divBdr>
          <w:divsChild>
            <w:div w:id="1280068230">
              <w:marLeft w:val="0"/>
              <w:marRight w:val="0"/>
              <w:marTop w:val="0"/>
              <w:marBottom w:val="0"/>
              <w:divBdr>
                <w:top w:val="none" w:sz="0" w:space="0" w:color="auto"/>
                <w:left w:val="none" w:sz="0" w:space="0" w:color="auto"/>
                <w:bottom w:val="none" w:sz="0" w:space="0" w:color="auto"/>
                <w:right w:val="none" w:sz="0" w:space="0" w:color="auto"/>
              </w:divBdr>
            </w:div>
          </w:divsChild>
        </w:div>
        <w:div w:id="319120070">
          <w:marLeft w:val="0"/>
          <w:marRight w:val="0"/>
          <w:marTop w:val="0"/>
          <w:marBottom w:val="0"/>
          <w:divBdr>
            <w:top w:val="none" w:sz="0" w:space="0" w:color="auto"/>
            <w:left w:val="none" w:sz="0" w:space="0" w:color="auto"/>
            <w:bottom w:val="none" w:sz="0" w:space="0" w:color="auto"/>
            <w:right w:val="none" w:sz="0" w:space="0" w:color="auto"/>
          </w:divBdr>
          <w:divsChild>
            <w:div w:id="284391049">
              <w:marLeft w:val="0"/>
              <w:marRight w:val="0"/>
              <w:marTop w:val="0"/>
              <w:marBottom w:val="0"/>
              <w:divBdr>
                <w:top w:val="none" w:sz="0" w:space="0" w:color="auto"/>
                <w:left w:val="none" w:sz="0" w:space="0" w:color="auto"/>
                <w:bottom w:val="none" w:sz="0" w:space="0" w:color="auto"/>
                <w:right w:val="none" w:sz="0" w:space="0" w:color="auto"/>
              </w:divBdr>
            </w:div>
          </w:divsChild>
        </w:div>
        <w:div w:id="333142781">
          <w:marLeft w:val="0"/>
          <w:marRight w:val="0"/>
          <w:marTop w:val="0"/>
          <w:marBottom w:val="0"/>
          <w:divBdr>
            <w:top w:val="none" w:sz="0" w:space="0" w:color="auto"/>
            <w:left w:val="none" w:sz="0" w:space="0" w:color="auto"/>
            <w:bottom w:val="none" w:sz="0" w:space="0" w:color="auto"/>
            <w:right w:val="none" w:sz="0" w:space="0" w:color="auto"/>
          </w:divBdr>
          <w:divsChild>
            <w:div w:id="663901621">
              <w:marLeft w:val="0"/>
              <w:marRight w:val="0"/>
              <w:marTop w:val="0"/>
              <w:marBottom w:val="0"/>
              <w:divBdr>
                <w:top w:val="none" w:sz="0" w:space="0" w:color="auto"/>
                <w:left w:val="none" w:sz="0" w:space="0" w:color="auto"/>
                <w:bottom w:val="none" w:sz="0" w:space="0" w:color="auto"/>
                <w:right w:val="none" w:sz="0" w:space="0" w:color="auto"/>
              </w:divBdr>
            </w:div>
          </w:divsChild>
        </w:div>
        <w:div w:id="353769777">
          <w:marLeft w:val="0"/>
          <w:marRight w:val="0"/>
          <w:marTop w:val="0"/>
          <w:marBottom w:val="0"/>
          <w:divBdr>
            <w:top w:val="none" w:sz="0" w:space="0" w:color="auto"/>
            <w:left w:val="none" w:sz="0" w:space="0" w:color="auto"/>
            <w:bottom w:val="none" w:sz="0" w:space="0" w:color="auto"/>
            <w:right w:val="none" w:sz="0" w:space="0" w:color="auto"/>
          </w:divBdr>
          <w:divsChild>
            <w:div w:id="127407386">
              <w:marLeft w:val="0"/>
              <w:marRight w:val="0"/>
              <w:marTop w:val="0"/>
              <w:marBottom w:val="0"/>
              <w:divBdr>
                <w:top w:val="none" w:sz="0" w:space="0" w:color="auto"/>
                <w:left w:val="none" w:sz="0" w:space="0" w:color="auto"/>
                <w:bottom w:val="none" w:sz="0" w:space="0" w:color="auto"/>
                <w:right w:val="none" w:sz="0" w:space="0" w:color="auto"/>
              </w:divBdr>
            </w:div>
          </w:divsChild>
        </w:div>
        <w:div w:id="385029702">
          <w:marLeft w:val="0"/>
          <w:marRight w:val="0"/>
          <w:marTop w:val="0"/>
          <w:marBottom w:val="0"/>
          <w:divBdr>
            <w:top w:val="none" w:sz="0" w:space="0" w:color="auto"/>
            <w:left w:val="none" w:sz="0" w:space="0" w:color="auto"/>
            <w:bottom w:val="none" w:sz="0" w:space="0" w:color="auto"/>
            <w:right w:val="none" w:sz="0" w:space="0" w:color="auto"/>
          </w:divBdr>
          <w:divsChild>
            <w:div w:id="1795319882">
              <w:marLeft w:val="0"/>
              <w:marRight w:val="0"/>
              <w:marTop w:val="0"/>
              <w:marBottom w:val="0"/>
              <w:divBdr>
                <w:top w:val="none" w:sz="0" w:space="0" w:color="auto"/>
                <w:left w:val="none" w:sz="0" w:space="0" w:color="auto"/>
                <w:bottom w:val="none" w:sz="0" w:space="0" w:color="auto"/>
                <w:right w:val="none" w:sz="0" w:space="0" w:color="auto"/>
              </w:divBdr>
            </w:div>
          </w:divsChild>
        </w:div>
        <w:div w:id="407315276">
          <w:marLeft w:val="0"/>
          <w:marRight w:val="0"/>
          <w:marTop w:val="0"/>
          <w:marBottom w:val="0"/>
          <w:divBdr>
            <w:top w:val="none" w:sz="0" w:space="0" w:color="auto"/>
            <w:left w:val="none" w:sz="0" w:space="0" w:color="auto"/>
            <w:bottom w:val="none" w:sz="0" w:space="0" w:color="auto"/>
            <w:right w:val="none" w:sz="0" w:space="0" w:color="auto"/>
          </w:divBdr>
          <w:divsChild>
            <w:div w:id="1766606069">
              <w:marLeft w:val="0"/>
              <w:marRight w:val="0"/>
              <w:marTop w:val="0"/>
              <w:marBottom w:val="0"/>
              <w:divBdr>
                <w:top w:val="none" w:sz="0" w:space="0" w:color="auto"/>
                <w:left w:val="none" w:sz="0" w:space="0" w:color="auto"/>
                <w:bottom w:val="none" w:sz="0" w:space="0" w:color="auto"/>
                <w:right w:val="none" w:sz="0" w:space="0" w:color="auto"/>
              </w:divBdr>
            </w:div>
          </w:divsChild>
        </w:div>
        <w:div w:id="662439013">
          <w:marLeft w:val="0"/>
          <w:marRight w:val="0"/>
          <w:marTop w:val="0"/>
          <w:marBottom w:val="0"/>
          <w:divBdr>
            <w:top w:val="none" w:sz="0" w:space="0" w:color="auto"/>
            <w:left w:val="none" w:sz="0" w:space="0" w:color="auto"/>
            <w:bottom w:val="none" w:sz="0" w:space="0" w:color="auto"/>
            <w:right w:val="none" w:sz="0" w:space="0" w:color="auto"/>
          </w:divBdr>
          <w:divsChild>
            <w:div w:id="1041633239">
              <w:marLeft w:val="0"/>
              <w:marRight w:val="0"/>
              <w:marTop w:val="0"/>
              <w:marBottom w:val="0"/>
              <w:divBdr>
                <w:top w:val="none" w:sz="0" w:space="0" w:color="auto"/>
                <w:left w:val="none" w:sz="0" w:space="0" w:color="auto"/>
                <w:bottom w:val="none" w:sz="0" w:space="0" w:color="auto"/>
                <w:right w:val="none" w:sz="0" w:space="0" w:color="auto"/>
              </w:divBdr>
            </w:div>
          </w:divsChild>
        </w:div>
        <w:div w:id="785849130">
          <w:marLeft w:val="0"/>
          <w:marRight w:val="0"/>
          <w:marTop w:val="0"/>
          <w:marBottom w:val="0"/>
          <w:divBdr>
            <w:top w:val="none" w:sz="0" w:space="0" w:color="auto"/>
            <w:left w:val="none" w:sz="0" w:space="0" w:color="auto"/>
            <w:bottom w:val="none" w:sz="0" w:space="0" w:color="auto"/>
            <w:right w:val="none" w:sz="0" w:space="0" w:color="auto"/>
          </w:divBdr>
          <w:divsChild>
            <w:div w:id="581371866">
              <w:marLeft w:val="0"/>
              <w:marRight w:val="0"/>
              <w:marTop w:val="0"/>
              <w:marBottom w:val="0"/>
              <w:divBdr>
                <w:top w:val="none" w:sz="0" w:space="0" w:color="auto"/>
                <w:left w:val="none" w:sz="0" w:space="0" w:color="auto"/>
                <w:bottom w:val="none" w:sz="0" w:space="0" w:color="auto"/>
                <w:right w:val="none" w:sz="0" w:space="0" w:color="auto"/>
              </w:divBdr>
            </w:div>
          </w:divsChild>
        </w:div>
        <w:div w:id="874780664">
          <w:marLeft w:val="0"/>
          <w:marRight w:val="0"/>
          <w:marTop w:val="0"/>
          <w:marBottom w:val="0"/>
          <w:divBdr>
            <w:top w:val="none" w:sz="0" w:space="0" w:color="auto"/>
            <w:left w:val="none" w:sz="0" w:space="0" w:color="auto"/>
            <w:bottom w:val="none" w:sz="0" w:space="0" w:color="auto"/>
            <w:right w:val="none" w:sz="0" w:space="0" w:color="auto"/>
          </w:divBdr>
          <w:divsChild>
            <w:div w:id="179393109">
              <w:marLeft w:val="0"/>
              <w:marRight w:val="0"/>
              <w:marTop w:val="0"/>
              <w:marBottom w:val="0"/>
              <w:divBdr>
                <w:top w:val="none" w:sz="0" w:space="0" w:color="auto"/>
                <w:left w:val="none" w:sz="0" w:space="0" w:color="auto"/>
                <w:bottom w:val="none" w:sz="0" w:space="0" w:color="auto"/>
                <w:right w:val="none" w:sz="0" w:space="0" w:color="auto"/>
              </w:divBdr>
            </w:div>
          </w:divsChild>
        </w:div>
        <w:div w:id="896627814">
          <w:marLeft w:val="0"/>
          <w:marRight w:val="0"/>
          <w:marTop w:val="0"/>
          <w:marBottom w:val="0"/>
          <w:divBdr>
            <w:top w:val="none" w:sz="0" w:space="0" w:color="auto"/>
            <w:left w:val="none" w:sz="0" w:space="0" w:color="auto"/>
            <w:bottom w:val="none" w:sz="0" w:space="0" w:color="auto"/>
            <w:right w:val="none" w:sz="0" w:space="0" w:color="auto"/>
          </w:divBdr>
          <w:divsChild>
            <w:div w:id="417944660">
              <w:marLeft w:val="0"/>
              <w:marRight w:val="0"/>
              <w:marTop w:val="0"/>
              <w:marBottom w:val="0"/>
              <w:divBdr>
                <w:top w:val="none" w:sz="0" w:space="0" w:color="auto"/>
                <w:left w:val="none" w:sz="0" w:space="0" w:color="auto"/>
                <w:bottom w:val="none" w:sz="0" w:space="0" w:color="auto"/>
                <w:right w:val="none" w:sz="0" w:space="0" w:color="auto"/>
              </w:divBdr>
            </w:div>
          </w:divsChild>
        </w:div>
        <w:div w:id="1077048905">
          <w:marLeft w:val="0"/>
          <w:marRight w:val="0"/>
          <w:marTop w:val="0"/>
          <w:marBottom w:val="0"/>
          <w:divBdr>
            <w:top w:val="none" w:sz="0" w:space="0" w:color="auto"/>
            <w:left w:val="none" w:sz="0" w:space="0" w:color="auto"/>
            <w:bottom w:val="none" w:sz="0" w:space="0" w:color="auto"/>
            <w:right w:val="none" w:sz="0" w:space="0" w:color="auto"/>
          </w:divBdr>
          <w:divsChild>
            <w:div w:id="420419474">
              <w:marLeft w:val="0"/>
              <w:marRight w:val="0"/>
              <w:marTop w:val="0"/>
              <w:marBottom w:val="0"/>
              <w:divBdr>
                <w:top w:val="none" w:sz="0" w:space="0" w:color="auto"/>
                <w:left w:val="none" w:sz="0" w:space="0" w:color="auto"/>
                <w:bottom w:val="none" w:sz="0" w:space="0" w:color="auto"/>
                <w:right w:val="none" w:sz="0" w:space="0" w:color="auto"/>
              </w:divBdr>
            </w:div>
          </w:divsChild>
        </w:div>
        <w:div w:id="1109617552">
          <w:marLeft w:val="0"/>
          <w:marRight w:val="0"/>
          <w:marTop w:val="0"/>
          <w:marBottom w:val="0"/>
          <w:divBdr>
            <w:top w:val="none" w:sz="0" w:space="0" w:color="auto"/>
            <w:left w:val="none" w:sz="0" w:space="0" w:color="auto"/>
            <w:bottom w:val="none" w:sz="0" w:space="0" w:color="auto"/>
            <w:right w:val="none" w:sz="0" w:space="0" w:color="auto"/>
          </w:divBdr>
          <w:divsChild>
            <w:div w:id="408120466">
              <w:marLeft w:val="0"/>
              <w:marRight w:val="0"/>
              <w:marTop w:val="0"/>
              <w:marBottom w:val="0"/>
              <w:divBdr>
                <w:top w:val="none" w:sz="0" w:space="0" w:color="auto"/>
                <w:left w:val="none" w:sz="0" w:space="0" w:color="auto"/>
                <w:bottom w:val="none" w:sz="0" w:space="0" w:color="auto"/>
                <w:right w:val="none" w:sz="0" w:space="0" w:color="auto"/>
              </w:divBdr>
            </w:div>
          </w:divsChild>
        </w:div>
        <w:div w:id="1330135231">
          <w:marLeft w:val="0"/>
          <w:marRight w:val="0"/>
          <w:marTop w:val="0"/>
          <w:marBottom w:val="0"/>
          <w:divBdr>
            <w:top w:val="none" w:sz="0" w:space="0" w:color="auto"/>
            <w:left w:val="none" w:sz="0" w:space="0" w:color="auto"/>
            <w:bottom w:val="none" w:sz="0" w:space="0" w:color="auto"/>
            <w:right w:val="none" w:sz="0" w:space="0" w:color="auto"/>
          </w:divBdr>
          <w:divsChild>
            <w:div w:id="1963655423">
              <w:marLeft w:val="0"/>
              <w:marRight w:val="0"/>
              <w:marTop w:val="0"/>
              <w:marBottom w:val="0"/>
              <w:divBdr>
                <w:top w:val="none" w:sz="0" w:space="0" w:color="auto"/>
                <w:left w:val="none" w:sz="0" w:space="0" w:color="auto"/>
                <w:bottom w:val="none" w:sz="0" w:space="0" w:color="auto"/>
                <w:right w:val="none" w:sz="0" w:space="0" w:color="auto"/>
              </w:divBdr>
            </w:div>
          </w:divsChild>
        </w:div>
        <w:div w:id="1348216265">
          <w:marLeft w:val="0"/>
          <w:marRight w:val="0"/>
          <w:marTop w:val="0"/>
          <w:marBottom w:val="0"/>
          <w:divBdr>
            <w:top w:val="none" w:sz="0" w:space="0" w:color="auto"/>
            <w:left w:val="none" w:sz="0" w:space="0" w:color="auto"/>
            <w:bottom w:val="none" w:sz="0" w:space="0" w:color="auto"/>
            <w:right w:val="none" w:sz="0" w:space="0" w:color="auto"/>
          </w:divBdr>
          <w:divsChild>
            <w:div w:id="275798218">
              <w:marLeft w:val="0"/>
              <w:marRight w:val="0"/>
              <w:marTop w:val="0"/>
              <w:marBottom w:val="0"/>
              <w:divBdr>
                <w:top w:val="none" w:sz="0" w:space="0" w:color="auto"/>
                <w:left w:val="none" w:sz="0" w:space="0" w:color="auto"/>
                <w:bottom w:val="none" w:sz="0" w:space="0" w:color="auto"/>
                <w:right w:val="none" w:sz="0" w:space="0" w:color="auto"/>
              </w:divBdr>
            </w:div>
          </w:divsChild>
        </w:div>
        <w:div w:id="1888951352">
          <w:marLeft w:val="0"/>
          <w:marRight w:val="0"/>
          <w:marTop w:val="0"/>
          <w:marBottom w:val="0"/>
          <w:divBdr>
            <w:top w:val="none" w:sz="0" w:space="0" w:color="auto"/>
            <w:left w:val="none" w:sz="0" w:space="0" w:color="auto"/>
            <w:bottom w:val="none" w:sz="0" w:space="0" w:color="auto"/>
            <w:right w:val="none" w:sz="0" w:space="0" w:color="auto"/>
          </w:divBdr>
          <w:divsChild>
            <w:div w:id="7243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538354">
      <w:bodyDiv w:val="1"/>
      <w:marLeft w:val="0"/>
      <w:marRight w:val="0"/>
      <w:marTop w:val="0"/>
      <w:marBottom w:val="0"/>
      <w:divBdr>
        <w:top w:val="none" w:sz="0" w:space="0" w:color="auto"/>
        <w:left w:val="none" w:sz="0" w:space="0" w:color="auto"/>
        <w:bottom w:val="none" w:sz="0" w:space="0" w:color="auto"/>
        <w:right w:val="none" w:sz="0" w:space="0" w:color="auto"/>
      </w:divBdr>
    </w:div>
    <w:div w:id="1923876552">
      <w:bodyDiv w:val="1"/>
      <w:marLeft w:val="0"/>
      <w:marRight w:val="0"/>
      <w:marTop w:val="0"/>
      <w:marBottom w:val="0"/>
      <w:divBdr>
        <w:top w:val="none" w:sz="0" w:space="0" w:color="auto"/>
        <w:left w:val="none" w:sz="0" w:space="0" w:color="auto"/>
        <w:bottom w:val="none" w:sz="0" w:space="0" w:color="auto"/>
        <w:right w:val="none" w:sz="0" w:space="0" w:color="auto"/>
      </w:divBdr>
    </w:div>
    <w:div w:id="2032946618">
      <w:bodyDiv w:val="1"/>
      <w:marLeft w:val="0"/>
      <w:marRight w:val="0"/>
      <w:marTop w:val="0"/>
      <w:marBottom w:val="0"/>
      <w:divBdr>
        <w:top w:val="none" w:sz="0" w:space="0" w:color="auto"/>
        <w:left w:val="none" w:sz="0" w:space="0" w:color="auto"/>
        <w:bottom w:val="none" w:sz="0" w:space="0" w:color="auto"/>
        <w:right w:val="none" w:sz="0" w:space="0" w:color="auto"/>
      </w:divBdr>
      <w:divsChild>
        <w:div w:id="311570916">
          <w:marLeft w:val="0"/>
          <w:marRight w:val="0"/>
          <w:marTop w:val="0"/>
          <w:marBottom w:val="0"/>
          <w:divBdr>
            <w:top w:val="none" w:sz="0" w:space="0" w:color="auto"/>
            <w:left w:val="none" w:sz="0" w:space="0" w:color="auto"/>
            <w:bottom w:val="none" w:sz="0" w:space="0" w:color="auto"/>
            <w:right w:val="none" w:sz="0" w:space="0" w:color="auto"/>
          </w:divBdr>
          <w:divsChild>
            <w:div w:id="1574394893">
              <w:marLeft w:val="0"/>
              <w:marRight w:val="0"/>
              <w:marTop w:val="0"/>
              <w:marBottom w:val="0"/>
              <w:divBdr>
                <w:top w:val="none" w:sz="0" w:space="0" w:color="auto"/>
                <w:left w:val="none" w:sz="0" w:space="0" w:color="auto"/>
                <w:bottom w:val="none" w:sz="0" w:space="0" w:color="auto"/>
                <w:right w:val="none" w:sz="0" w:space="0" w:color="auto"/>
              </w:divBdr>
              <w:divsChild>
                <w:div w:id="177925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7436">
          <w:marLeft w:val="0"/>
          <w:marRight w:val="0"/>
          <w:marTop w:val="0"/>
          <w:marBottom w:val="0"/>
          <w:divBdr>
            <w:top w:val="none" w:sz="0" w:space="0" w:color="auto"/>
            <w:left w:val="none" w:sz="0" w:space="0" w:color="auto"/>
            <w:bottom w:val="none" w:sz="0" w:space="0" w:color="auto"/>
            <w:right w:val="none" w:sz="0" w:space="0" w:color="auto"/>
          </w:divBdr>
          <w:divsChild>
            <w:div w:id="1000935990">
              <w:marLeft w:val="0"/>
              <w:marRight w:val="0"/>
              <w:marTop w:val="0"/>
              <w:marBottom w:val="0"/>
              <w:divBdr>
                <w:top w:val="none" w:sz="0" w:space="0" w:color="auto"/>
                <w:left w:val="none" w:sz="0" w:space="0" w:color="auto"/>
                <w:bottom w:val="none" w:sz="0" w:space="0" w:color="auto"/>
                <w:right w:val="none" w:sz="0" w:space="0" w:color="auto"/>
              </w:divBdr>
              <w:divsChild>
                <w:div w:id="17608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990489">
          <w:marLeft w:val="0"/>
          <w:marRight w:val="0"/>
          <w:marTop w:val="0"/>
          <w:marBottom w:val="0"/>
          <w:divBdr>
            <w:top w:val="none" w:sz="0" w:space="0" w:color="auto"/>
            <w:left w:val="none" w:sz="0" w:space="0" w:color="auto"/>
            <w:bottom w:val="none" w:sz="0" w:space="0" w:color="auto"/>
            <w:right w:val="none" w:sz="0" w:space="0" w:color="auto"/>
          </w:divBdr>
          <w:divsChild>
            <w:div w:id="1090853778">
              <w:marLeft w:val="0"/>
              <w:marRight w:val="0"/>
              <w:marTop w:val="0"/>
              <w:marBottom w:val="0"/>
              <w:divBdr>
                <w:top w:val="none" w:sz="0" w:space="0" w:color="auto"/>
                <w:left w:val="none" w:sz="0" w:space="0" w:color="auto"/>
                <w:bottom w:val="none" w:sz="0" w:space="0" w:color="auto"/>
                <w:right w:val="none" w:sz="0" w:space="0" w:color="auto"/>
              </w:divBdr>
              <w:divsChild>
                <w:div w:id="207739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044710">
      <w:bodyDiv w:val="1"/>
      <w:marLeft w:val="0"/>
      <w:marRight w:val="0"/>
      <w:marTop w:val="0"/>
      <w:marBottom w:val="0"/>
      <w:divBdr>
        <w:top w:val="none" w:sz="0" w:space="0" w:color="auto"/>
        <w:left w:val="none" w:sz="0" w:space="0" w:color="auto"/>
        <w:bottom w:val="none" w:sz="0" w:space="0" w:color="auto"/>
        <w:right w:val="none" w:sz="0" w:space="0" w:color="auto"/>
      </w:divBdr>
      <w:divsChild>
        <w:div w:id="24452723">
          <w:marLeft w:val="0"/>
          <w:marRight w:val="0"/>
          <w:marTop w:val="0"/>
          <w:marBottom w:val="0"/>
          <w:divBdr>
            <w:top w:val="none" w:sz="0" w:space="0" w:color="auto"/>
            <w:left w:val="none" w:sz="0" w:space="0" w:color="auto"/>
            <w:bottom w:val="none" w:sz="0" w:space="0" w:color="auto"/>
            <w:right w:val="none" w:sz="0" w:space="0" w:color="auto"/>
          </w:divBdr>
          <w:divsChild>
            <w:div w:id="821197312">
              <w:marLeft w:val="0"/>
              <w:marRight w:val="0"/>
              <w:marTop w:val="0"/>
              <w:marBottom w:val="0"/>
              <w:divBdr>
                <w:top w:val="none" w:sz="0" w:space="0" w:color="auto"/>
                <w:left w:val="none" w:sz="0" w:space="0" w:color="auto"/>
                <w:bottom w:val="none" w:sz="0" w:space="0" w:color="auto"/>
                <w:right w:val="none" w:sz="0" w:space="0" w:color="auto"/>
              </w:divBdr>
            </w:div>
          </w:divsChild>
        </w:div>
        <w:div w:id="381638870">
          <w:marLeft w:val="0"/>
          <w:marRight w:val="0"/>
          <w:marTop w:val="0"/>
          <w:marBottom w:val="0"/>
          <w:divBdr>
            <w:top w:val="none" w:sz="0" w:space="0" w:color="auto"/>
            <w:left w:val="none" w:sz="0" w:space="0" w:color="auto"/>
            <w:bottom w:val="none" w:sz="0" w:space="0" w:color="auto"/>
            <w:right w:val="none" w:sz="0" w:space="0" w:color="auto"/>
          </w:divBdr>
          <w:divsChild>
            <w:div w:id="1318073078">
              <w:marLeft w:val="0"/>
              <w:marRight w:val="0"/>
              <w:marTop w:val="0"/>
              <w:marBottom w:val="0"/>
              <w:divBdr>
                <w:top w:val="none" w:sz="0" w:space="0" w:color="auto"/>
                <w:left w:val="none" w:sz="0" w:space="0" w:color="auto"/>
                <w:bottom w:val="none" w:sz="0" w:space="0" w:color="auto"/>
                <w:right w:val="none" w:sz="0" w:space="0" w:color="auto"/>
              </w:divBdr>
            </w:div>
          </w:divsChild>
        </w:div>
        <w:div w:id="387265863">
          <w:marLeft w:val="0"/>
          <w:marRight w:val="0"/>
          <w:marTop w:val="0"/>
          <w:marBottom w:val="0"/>
          <w:divBdr>
            <w:top w:val="none" w:sz="0" w:space="0" w:color="auto"/>
            <w:left w:val="none" w:sz="0" w:space="0" w:color="auto"/>
            <w:bottom w:val="none" w:sz="0" w:space="0" w:color="auto"/>
            <w:right w:val="none" w:sz="0" w:space="0" w:color="auto"/>
          </w:divBdr>
          <w:divsChild>
            <w:div w:id="1612781717">
              <w:marLeft w:val="0"/>
              <w:marRight w:val="0"/>
              <w:marTop w:val="0"/>
              <w:marBottom w:val="0"/>
              <w:divBdr>
                <w:top w:val="none" w:sz="0" w:space="0" w:color="auto"/>
                <w:left w:val="none" w:sz="0" w:space="0" w:color="auto"/>
                <w:bottom w:val="none" w:sz="0" w:space="0" w:color="auto"/>
                <w:right w:val="none" w:sz="0" w:space="0" w:color="auto"/>
              </w:divBdr>
            </w:div>
          </w:divsChild>
        </w:div>
        <w:div w:id="558127843">
          <w:marLeft w:val="0"/>
          <w:marRight w:val="0"/>
          <w:marTop w:val="0"/>
          <w:marBottom w:val="0"/>
          <w:divBdr>
            <w:top w:val="none" w:sz="0" w:space="0" w:color="auto"/>
            <w:left w:val="none" w:sz="0" w:space="0" w:color="auto"/>
            <w:bottom w:val="none" w:sz="0" w:space="0" w:color="auto"/>
            <w:right w:val="none" w:sz="0" w:space="0" w:color="auto"/>
          </w:divBdr>
          <w:divsChild>
            <w:div w:id="1713532453">
              <w:marLeft w:val="0"/>
              <w:marRight w:val="0"/>
              <w:marTop w:val="0"/>
              <w:marBottom w:val="0"/>
              <w:divBdr>
                <w:top w:val="none" w:sz="0" w:space="0" w:color="auto"/>
                <w:left w:val="none" w:sz="0" w:space="0" w:color="auto"/>
                <w:bottom w:val="none" w:sz="0" w:space="0" w:color="auto"/>
                <w:right w:val="none" w:sz="0" w:space="0" w:color="auto"/>
              </w:divBdr>
            </w:div>
          </w:divsChild>
        </w:div>
        <w:div w:id="894776311">
          <w:marLeft w:val="0"/>
          <w:marRight w:val="0"/>
          <w:marTop w:val="0"/>
          <w:marBottom w:val="0"/>
          <w:divBdr>
            <w:top w:val="none" w:sz="0" w:space="0" w:color="auto"/>
            <w:left w:val="none" w:sz="0" w:space="0" w:color="auto"/>
            <w:bottom w:val="none" w:sz="0" w:space="0" w:color="auto"/>
            <w:right w:val="none" w:sz="0" w:space="0" w:color="auto"/>
          </w:divBdr>
          <w:divsChild>
            <w:div w:id="1706565302">
              <w:marLeft w:val="0"/>
              <w:marRight w:val="0"/>
              <w:marTop w:val="0"/>
              <w:marBottom w:val="0"/>
              <w:divBdr>
                <w:top w:val="none" w:sz="0" w:space="0" w:color="auto"/>
                <w:left w:val="none" w:sz="0" w:space="0" w:color="auto"/>
                <w:bottom w:val="none" w:sz="0" w:space="0" w:color="auto"/>
                <w:right w:val="none" w:sz="0" w:space="0" w:color="auto"/>
              </w:divBdr>
            </w:div>
          </w:divsChild>
        </w:div>
        <w:div w:id="1048266169">
          <w:marLeft w:val="0"/>
          <w:marRight w:val="0"/>
          <w:marTop w:val="0"/>
          <w:marBottom w:val="0"/>
          <w:divBdr>
            <w:top w:val="none" w:sz="0" w:space="0" w:color="auto"/>
            <w:left w:val="none" w:sz="0" w:space="0" w:color="auto"/>
            <w:bottom w:val="none" w:sz="0" w:space="0" w:color="auto"/>
            <w:right w:val="none" w:sz="0" w:space="0" w:color="auto"/>
          </w:divBdr>
          <w:divsChild>
            <w:div w:id="813061147">
              <w:marLeft w:val="0"/>
              <w:marRight w:val="0"/>
              <w:marTop w:val="0"/>
              <w:marBottom w:val="0"/>
              <w:divBdr>
                <w:top w:val="none" w:sz="0" w:space="0" w:color="auto"/>
                <w:left w:val="none" w:sz="0" w:space="0" w:color="auto"/>
                <w:bottom w:val="none" w:sz="0" w:space="0" w:color="auto"/>
                <w:right w:val="none" w:sz="0" w:space="0" w:color="auto"/>
              </w:divBdr>
            </w:div>
          </w:divsChild>
        </w:div>
        <w:div w:id="1086537084">
          <w:marLeft w:val="0"/>
          <w:marRight w:val="0"/>
          <w:marTop w:val="0"/>
          <w:marBottom w:val="0"/>
          <w:divBdr>
            <w:top w:val="none" w:sz="0" w:space="0" w:color="auto"/>
            <w:left w:val="none" w:sz="0" w:space="0" w:color="auto"/>
            <w:bottom w:val="none" w:sz="0" w:space="0" w:color="auto"/>
            <w:right w:val="none" w:sz="0" w:space="0" w:color="auto"/>
          </w:divBdr>
          <w:divsChild>
            <w:div w:id="2088795760">
              <w:marLeft w:val="0"/>
              <w:marRight w:val="0"/>
              <w:marTop w:val="0"/>
              <w:marBottom w:val="0"/>
              <w:divBdr>
                <w:top w:val="none" w:sz="0" w:space="0" w:color="auto"/>
                <w:left w:val="none" w:sz="0" w:space="0" w:color="auto"/>
                <w:bottom w:val="none" w:sz="0" w:space="0" w:color="auto"/>
                <w:right w:val="none" w:sz="0" w:space="0" w:color="auto"/>
              </w:divBdr>
            </w:div>
          </w:divsChild>
        </w:div>
        <w:div w:id="1315722182">
          <w:marLeft w:val="0"/>
          <w:marRight w:val="0"/>
          <w:marTop w:val="0"/>
          <w:marBottom w:val="0"/>
          <w:divBdr>
            <w:top w:val="none" w:sz="0" w:space="0" w:color="auto"/>
            <w:left w:val="none" w:sz="0" w:space="0" w:color="auto"/>
            <w:bottom w:val="none" w:sz="0" w:space="0" w:color="auto"/>
            <w:right w:val="none" w:sz="0" w:space="0" w:color="auto"/>
          </w:divBdr>
          <w:divsChild>
            <w:div w:id="1455292581">
              <w:marLeft w:val="0"/>
              <w:marRight w:val="0"/>
              <w:marTop w:val="0"/>
              <w:marBottom w:val="0"/>
              <w:divBdr>
                <w:top w:val="none" w:sz="0" w:space="0" w:color="auto"/>
                <w:left w:val="none" w:sz="0" w:space="0" w:color="auto"/>
                <w:bottom w:val="none" w:sz="0" w:space="0" w:color="auto"/>
                <w:right w:val="none" w:sz="0" w:space="0" w:color="auto"/>
              </w:divBdr>
            </w:div>
          </w:divsChild>
        </w:div>
        <w:div w:id="1714380762">
          <w:marLeft w:val="0"/>
          <w:marRight w:val="0"/>
          <w:marTop w:val="0"/>
          <w:marBottom w:val="0"/>
          <w:divBdr>
            <w:top w:val="none" w:sz="0" w:space="0" w:color="auto"/>
            <w:left w:val="none" w:sz="0" w:space="0" w:color="auto"/>
            <w:bottom w:val="none" w:sz="0" w:space="0" w:color="auto"/>
            <w:right w:val="none" w:sz="0" w:space="0" w:color="auto"/>
          </w:divBdr>
          <w:divsChild>
            <w:div w:id="112901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18" Type="http://schemas.openxmlformats.org/officeDocument/2006/relationships/chart" Target="charts/chart10.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chart" Target="charts/chart9.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chart" Target="charts/chart7.xml"/><Relationship Id="rId10" Type="http://schemas.openxmlformats.org/officeDocument/2006/relationships/chart" Target="charts/chart2.xm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aggie\AppData\Roaming\Microsoft\Excel\Book1%20(version%201).xlsb"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Banked</c:v>
                </c:pt>
              </c:strCache>
            </c:strRef>
          </c:tx>
          <c:invertIfNegative val="0"/>
          <c:cat>
            <c:strRef>
              <c:f>Sheet1!$A$2:$A$4</c:f>
              <c:strCache>
                <c:ptCount val="3"/>
                <c:pt idx="0">
                  <c:v>Deposit all in bank and spend it from there</c:v>
                </c:pt>
                <c:pt idx="1">
                  <c:v>Cash the check at bank and spend</c:v>
                </c:pt>
                <c:pt idx="2">
                  <c:v>Cash check at cash casher and spend</c:v>
                </c:pt>
              </c:strCache>
            </c:strRef>
          </c:cat>
          <c:val>
            <c:numRef>
              <c:f>Sheet1!$B$2:$B$4</c:f>
              <c:numCache>
                <c:formatCode>0%</c:formatCode>
                <c:ptCount val="3"/>
                <c:pt idx="0">
                  <c:v>0.73</c:v>
                </c:pt>
                <c:pt idx="1">
                  <c:v>0.18</c:v>
                </c:pt>
                <c:pt idx="2">
                  <c:v>0.04</c:v>
                </c:pt>
              </c:numCache>
            </c:numRef>
          </c:val>
        </c:ser>
        <c:ser>
          <c:idx val="1"/>
          <c:order val="1"/>
          <c:tx>
            <c:strRef>
              <c:f>Sheet1!$C$1</c:f>
              <c:strCache>
                <c:ptCount val="1"/>
                <c:pt idx="0">
                  <c:v>Unbanked</c:v>
                </c:pt>
              </c:strCache>
            </c:strRef>
          </c:tx>
          <c:invertIfNegative val="0"/>
          <c:cat>
            <c:strRef>
              <c:f>Sheet1!$A$2:$A$4</c:f>
              <c:strCache>
                <c:ptCount val="3"/>
                <c:pt idx="0">
                  <c:v>Deposit all in bank and spend it from there</c:v>
                </c:pt>
                <c:pt idx="1">
                  <c:v>Cash the check at bank and spend</c:v>
                </c:pt>
                <c:pt idx="2">
                  <c:v>Cash check at cash casher and spend</c:v>
                </c:pt>
              </c:strCache>
            </c:strRef>
          </c:cat>
          <c:val>
            <c:numRef>
              <c:f>Sheet1!$C$2:$C$4</c:f>
              <c:numCache>
                <c:formatCode>0%</c:formatCode>
                <c:ptCount val="3"/>
                <c:pt idx="0">
                  <c:v>0.03</c:v>
                </c:pt>
                <c:pt idx="1">
                  <c:v>0.16</c:v>
                </c:pt>
                <c:pt idx="2">
                  <c:v>0.73</c:v>
                </c:pt>
              </c:numCache>
            </c:numRef>
          </c:val>
        </c:ser>
        <c:dLbls>
          <c:showLegendKey val="0"/>
          <c:showVal val="0"/>
          <c:showCatName val="0"/>
          <c:showSerName val="0"/>
          <c:showPercent val="0"/>
          <c:showBubbleSize val="0"/>
        </c:dLbls>
        <c:gapWidth val="150"/>
        <c:shape val="cylinder"/>
        <c:axId val="217994752"/>
        <c:axId val="217996288"/>
        <c:axId val="0"/>
      </c:bar3DChart>
      <c:catAx>
        <c:axId val="217994752"/>
        <c:scaling>
          <c:orientation val="minMax"/>
        </c:scaling>
        <c:delete val="0"/>
        <c:axPos val="b"/>
        <c:majorTickMark val="out"/>
        <c:minorTickMark val="none"/>
        <c:tickLblPos val="nextTo"/>
        <c:crossAx val="217996288"/>
        <c:crosses val="autoZero"/>
        <c:auto val="1"/>
        <c:lblAlgn val="ctr"/>
        <c:lblOffset val="100"/>
        <c:noMultiLvlLbl val="0"/>
      </c:catAx>
      <c:valAx>
        <c:axId val="217996288"/>
        <c:scaling>
          <c:orientation val="minMax"/>
        </c:scaling>
        <c:delete val="0"/>
        <c:axPos val="l"/>
        <c:majorGridlines/>
        <c:numFmt formatCode="0%" sourceLinked="1"/>
        <c:majorTickMark val="out"/>
        <c:minorTickMark val="none"/>
        <c:tickLblPos val="nextTo"/>
        <c:crossAx val="217994752"/>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Sheet2!$B$1</c:f>
              <c:strCache>
                <c:ptCount val="1"/>
                <c:pt idx="0">
                  <c:v>Banked</c:v>
                </c:pt>
              </c:strCache>
            </c:strRef>
          </c:tx>
          <c:invertIfNegative val="0"/>
          <c:cat>
            <c:strRef>
              <c:f>Sheet2!$A$2:$A$4</c:f>
              <c:strCache>
                <c:ptCount val="3"/>
                <c:pt idx="0">
                  <c:v>Keep it all and spend</c:v>
                </c:pt>
                <c:pt idx="1">
                  <c:v>Deposit the cash at bank and spend</c:v>
                </c:pt>
                <c:pt idx="2">
                  <c:v>Keep some and deposit the rest in bank</c:v>
                </c:pt>
              </c:strCache>
            </c:strRef>
          </c:cat>
          <c:val>
            <c:numRef>
              <c:f>Sheet2!$B$2:$B$4</c:f>
              <c:numCache>
                <c:formatCode>0%</c:formatCode>
                <c:ptCount val="3"/>
                <c:pt idx="0">
                  <c:v>0.48</c:v>
                </c:pt>
                <c:pt idx="1">
                  <c:v>0.27</c:v>
                </c:pt>
                <c:pt idx="2">
                  <c:v>0.14000000000000001</c:v>
                </c:pt>
              </c:numCache>
            </c:numRef>
          </c:val>
        </c:ser>
        <c:ser>
          <c:idx val="1"/>
          <c:order val="1"/>
          <c:tx>
            <c:strRef>
              <c:f>Sheet2!$C$1</c:f>
              <c:strCache>
                <c:ptCount val="1"/>
                <c:pt idx="0">
                  <c:v>Unbanked</c:v>
                </c:pt>
              </c:strCache>
            </c:strRef>
          </c:tx>
          <c:invertIfNegative val="0"/>
          <c:cat>
            <c:strRef>
              <c:f>Sheet2!$A$2:$A$4</c:f>
              <c:strCache>
                <c:ptCount val="3"/>
                <c:pt idx="0">
                  <c:v>Keep it all and spend</c:v>
                </c:pt>
                <c:pt idx="1">
                  <c:v>Deposit the cash at bank and spend</c:v>
                </c:pt>
                <c:pt idx="2">
                  <c:v>Keep some and deposit the rest in bank</c:v>
                </c:pt>
              </c:strCache>
            </c:strRef>
          </c:cat>
          <c:val>
            <c:numRef>
              <c:f>Sheet2!$C$2:$C$4</c:f>
              <c:numCache>
                <c:formatCode>0%</c:formatCode>
                <c:ptCount val="3"/>
                <c:pt idx="0">
                  <c:v>0.88</c:v>
                </c:pt>
                <c:pt idx="1">
                  <c:v>0.01</c:v>
                </c:pt>
                <c:pt idx="2">
                  <c:v>0.01</c:v>
                </c:pt>
              </c:numCache>
            </c:numRef>
          </c:val>
        </c:ser>
        <c:dLbls>
          <c:showLegendKey val="0"/>
          <c:showVal val="0"/>
          <c:showCatName val="0"/>
          <c:showSerName val="0"/>
          <c:showPercent val="0"/>
          <c:showBubbleSize val="0"/>
        </c:dLbls>
        <c:gapWidth val="150"/>
        <c:shape val="cylinder"/>
        <c:axId val="221577600"/>
        <c:axId val="221579136"/>
        <c:axId val="0"/>
      </c:bar3DChart>
      <c:catAx>
        <c:axId val="221577600"/>
        <c:scaling>
          <c:orientation val="minMax"/>
        </c:scaling>
        <c:delete val="0"/>
        <c:axPos val="b"/>
        <c:majorTickMark val="out"/>
        <c:minorTickMark val="none"/>
        <c:tickLblPos val="nextTo"/>
        <c:crossAx val="221579136"/>
        <c:crosses val="autoZero"/>
        <c:auto val="1"/>
        <c:lblAlgn val="ctr"/>
        <c:lblOffset val="100"/>
        <c:noMultiLvlLbl val="0"/>
      </c:catAx>
      <c:valAx>
        <c:axId val="221579136"/>
        <c:scaling>
          <c:orientation val="minMax"/>
        </c:scaling>
        <c:delete val="0"/>
        <c:axPos val="l"/>
        <c:majorGridlines/>
        <c:numFmt formatCode="0%" sourceLinked="1"/>
        <c:majorTickMark val="out"/>
        <c:minorTickMark val="none"/>
        <c:tickLblPos val="nextTo"/>
        <c:crossAx val="221577600"/>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 of unbanked Residents according</a:t>
            </a:r>
            <a:r>
              <a:rPr lang="en-US" baseline="0"/>
              <a:t>  to account history</a:t>
            </a:r>
            <a:endParaRPr lang="en-US"/>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Sheet7!$B$1</c:f>
              <c:strCache>
                <c:ptCount val="1"/>
                <c:pt idx="0">
                  <c:v>% of unbanked Residents</c:v>
                </c:pt>
              </c:strCache>
            </c:strRef>
          </c:tx>
          <c:cat>
            <c:strRef>
              <c:f>Sheet7!$A$2:$A$6</c:f>
              <c:strCache>
                <c:ptCount val="5"/>
                <c:pt idx="0">
                  <c:v>Never had an account anywhere</c:v>
                </c:pt>
                <c:pt idx="1">
                  <c:v>Had an account but no longer uses </c:v>
                </c:pt>
                <c:pt idx="2">
                  <c:v>Ever opened an account but will never again</c:v>
                </c:pt>
                <c:pt idx="3">
                  <c:v>Opened an account in a different country</c:v>
                </c:pt>
                <c:pt idx="4">
                  <c:v>Other </c:v>
                </c:pt>
              </c:strCache>
            </c:strRef>
          </c:cat>
          <c:val>
            <c:numRef>
              <c:f>Sheet7!$B$2:$B$6</c:f>
              <c:numCache>
                <c:formatCode>0%</c:formatCode>
                <c:ptCount val="5"/>
                <c:pt idx="0">
                  <c:v>0.63</c:v>
                </c:pt>
                <c:pt idx="1">
                  <c:v>0.22</c:v>
                </c:pt>
                <c:pt idx="2">
                  <c:v>0.09</c:v>
                </c:pt>
                <c:pt idx="3">
                  <c:v>0.03</c:v>
                </c:pt>
                <c:pt idx="4">
                  <c:v>0.03</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sz="1800">
                <a:effectLst/>
              </a:rPr>
              <a:t>Perceptions of personal </a:t>
            </a:r>
          </a:p>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a:t>finance</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Sheet6!$B$1</c:f>
              <c:strCache>
                <c:ptCount val="1"/>
                <c:pt idx="0">
                  <c:v>Banked </c:v>
                </c:pt>
              </c:strCache>
            </c:strRef>
          </c:tx>
          <c:cat>
            <c:strRef>
              <c:f>Sheet6!$A$2:$A$4</c:f>
              <c:strCache>
                <c:ptCount val="3"/>
                <c:pt idx="0">
                  <c:v>I am able to pay bills and save</c:v>
                </c:pt>
                <c:pt idx="1">
                  <c:v>I am able to pay bills but no enough to save</c:v>
                </c:pt>
                <c:pt idx="2">
                  <c:v>I am not making enough to pay regular expenses financial health</c:v>
                </c:pt>
              </c:strCache>
            </c:strRef>
          </c:cat>
          <c:val>
            <c:numRef>
              <c:f>Sheet6!$B$2:$B$4</c:f>
              <c:numCache>
                <c:formatCode>0%</c:formatCode>
                <c:ptCount val="3"/>
                <c:pt idx="0">
                  <c:v>0.24</c:v>
                </c:pt>
                <c:pt idx="1">
                  <c:v>0.49</c:v>
                </c:pt>
                <c:pt idx="2">
                  <c:v>0.27</c:v>
                </c:pt>
              </c:numCache>
            </c:numRef>
          </c:val>
        </c:ser>
        <c:ser>
          <c:idx val="1"/>
          <c:order val="1"/>
          <c:tx>
            <c:strRef>
              <c:f>Sheet6!$C$1</c:f>
              <c:strCache>
                <c:ptCount val="1"/>
                <c:pt idx="0">
                  <c:v>Unbanked</c:v>
                </c:pt>
              </c:strCache>
            </c:strRef>
          </c:tx>
          <c:cat>
            <c:strRef>
              <c:f>Sheet6!$A$2:$A$4</c:f>
              <c:strCache>
                <c:ptCount val="3"/>
                <c:pt idx="0">
                  <c:v>I am able to pay bills and save</c:v>
                </c:pt>
                <c:pt idx="1">
                  <c:v>I am able to pay bills but no enough to save</c:v>
                </c:pt>
                <c:pt idx="2">
                  <c:v>I am not making enough to pay regular expenses financial health</c:v>
                </c:pt>
              </c:strCache>
            </c:strRef>
          </c:cat>
          <c:val>
            <c:numRef>
              <c:f>Sheet6!$C$2:$C$4</c:f>
              <c:numCache>
                <c:formatCode>0%</c:formatCode>
                <c:ptCount val="3"/>
                <c:pt idx="0">
                  <c:v>0.11</c:v>
                </c:pt>
                <c:pt idx="1">
                  <c:v>0.51</c:v>
                </c:pt>
                <c:pt idx="2">
                  <c:v>0.38</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 of households (2009)</c:v>
                </c:pt>
              </c:strCache>
            </c:strRef>
          </c:tx>
          <c:invertIfNegative val="0"/>
          <c:cat>
            <c:strRef>
              <c:f>Sheet1!$A$2:$A$8</c:f>
              <c:strCache>
                <c:ptCount val="7"/>
                <c:pt idx="0">
                  <c:v>All households</c:v>
                </c:pt>
                <c:pt idx="1">
                  <c:v>Black</c:v>
                </c:pt>
                <c:pt idx="2">
                  <c:v>Hispanic</c:v>
                </c:pt>
                <c:pt idx="3">
                  <c:v>American India</c:v>
                </c:pt>
                <c:pt idx="4">
                  <c:v>Hawalian/ Pacific Islander</c:v>
                </c:pt>
                <c:pt idx="5">
                  <c:v>White</c:v>
                </c:pt>
                <c:pt idx="6">
                  <c:v>Asian</c:v>
                </c:pt>
              </c:strCache>
            </c:strRef>
          </c:cat>
          <c:val>
            <c:numRef>
              <c:f>Sheet1!$B$2:$B$8</c:f>
              <c:numCache>
                <c:formatCode>General</c:formatCode>
                <c:ptCount val="7"/>
                <c:pt idx="0">
                  <c:v>7.6</c:v>
                </c:pt>
                <c:pt idx="1">
                  <c:v>21.5</c:v>
                </c:pt>
                <c:pt idx="2">
                  <c:v>19.2</c:v>
                </c:pt>
                <c:pt idx="3">
                  <c:v>15.3</c:v>
                </c:pt>
                <c:pt idx="4">
                  <c:v>9</c:v>
                </c:pt>
                <c:pt idx="5">
                  <c:v>3.3</c:v>
                </c:pt>
                <c:pt idx="6">
                  <c:v>3.5</c:v>
                </c:pt>
              </c:numCache>
            </c:numRef>
          </c:val>
        </c:ser>
        <c:ser>
          <c:idx val="1"/>
          <c:order val="1"/>
          <c:tx>
            <c:strRef>
              <c:f>Sheet1!$C$1</c:f>
              <c:strCache>
                <c:ptCount val="1"/>
                <c:pt idx="0">
                  <c:v>% of households (2011)</c:v>
                </c:pt>
              </c:strCache>
            </c:strRef>
          </c:tx>
          <c:invertIfNegative val="0"/>
          <c:cat>
            <c:strRef>
              <c:f>Sheet1!$A$2:$A$8</c:f>
              <c:strCache>
                <c:ptCount val="7"/>
                <c:pt idx="0">
                  <c:v>All households</c:v>
                </c:pt>
                <c:pt idx="1">
                  <c:v>Black</c:v>
                </c:pt>
                <c:pt idx="2">
                  <c:v>Hispanic</c:v>
                </c:pt>
                <c:pt idx="3">
                  <c:v>American India</c:v>
                </c:pt>
                <c:pt idx="4">
                  <c:v>Hawalian/ Pacific Islander</c:v>
                </c:pt>
                <c:pt idx="5">
                  <c:v>White</c:v>
                </c:pt>
                <c:pt idx="6">
                  <c:v>Asian</c:v>
                </c:pt>
              </c:strCache>
            </c:strRef>
          </c:cat>
          <c:val>
            <c:numRef>
              <c:f>Sheet1!$C$2:$C$8</c:f>
              <c:numCache>
                <c:formatCode>General</c:formatCode>
                <c:ptCount val="7"/>
                <c:pt idx="0">
                  <c:v>8.1999999999999993</c:v>
                </c:pt>
                <c:pt idx="1">
                  <c:v>21.4</c:v>
                </c:pt>
                <c:pt idx="2">
                  <c:v>20.100000000000001</c:v>
                </c:pt>
                <c:pt idx="3">
                  <c:v>14.5</c:v>
                </c:pt>
                <c:pt idx="4">
                  <c:v>6.2</c:v>
                </c:pt>
                <c:pt idx="5">
                  <c:v>4</c:v>
                </c:pt>
                <c:pt idx="6">
                  <c:v>2.7</c:v>
                </c:pt>
              </c:numCache>
            </c:numRef>
          </c:val>
        </c:ser>
        <c:dLbls>
          <c:showLegendKey val="0"/>
          <c:showVal val="0"/>
          <c:showCatName val="0"/>
          <c:showSerName val="0"/>
          <c:showPercent val="0"/>
          <c:showBubbleSize val="0"/>
        </c:dLbls>
        <c:gapWidth val="150"/>
        <c:shape val="cylinder"/>
        <c:axId val="221630848"/>
        <c:axId val="221632768"/>
        <c:axId val="0"/>
      </c:bar3DChart>
      <c:catAx>
        <c:axId val="221630848"/>
        <c:scaling>
          <c:orientation val="minMax"/>
        </c:scaling>
        <c:delete val="0"/>
        <c:axPos val="b"/>
        <c:title>
          <c:tx>
            <c:rich>
              <a:bodyPr/>
              <a:lstStyle/>
              <a:p>
                <a:pPr>
                  <a:defRPr/>
                </a:pPr>
                <a:r>
                  <a:rPr lang="en-US"/>
                  <a:t>Race</a:t>
                </a:r>
              </a:p>
            </c:rich>
          </c:tx>
          <c:overlay val="0"/>
        </c:title>
        <c:majorTickMark val="out"/>
        <c:minorTickMark val="none"/>
        <c:tickLblPos val="nextTo"/>
        <c:crossAx val="221632768"/>
        <c:crosses val="autoZero"/>
        <c:auto val="1"/>
        <c:lblAlgn val="ctr"/>
        <c:lblOffset val="100"/>
        <c:noMultiLvlLbl val="0"/>
      </c:catAx>
      <c:valAx>
        <c:axId val="221632768"/>
        <c:scaling>
          <c:orientation val="minMax"/>
        </c:scaling>
        <c:delete val="0"/>
        <c:axPos val="l"/>
        <c:majorGridlines/>
        <c:title>
          <c:tx>
            <c:rich>
              <a:bodyPr rot="-5400000" vert="horz"/>
              <a:lstStyle/>
              <a:p>
                <a:pPr>
                  <a:defRPr/>
                </a:pPr>
                <a:r>
                  <a:rPr lang="en-US"/>
                  <a:t>% of households</a:t>
                </a:r>
              </a:p>
            </c:rich>
          </c:tx>
          <c:overlay val="0"/>
        </c:title>
        <c:numFmt formatCode="General" sourceLinked="1"/>
        <c:majorTickMark val="out"/>
        <c:minorTickMark val="none"/>
        <c:tickLblPos val="nextTo"/>
        <c:crossAx val="221630848"/>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Sheet2!$B$1</c:f>
              <c:strCache>
                <c:ptCount val="1"/>
                <c:pt idx="0">
                  <c:v>% of households (2009)</c:v>
                </c:pt>
              </c:strCache>
            </c:strRef>
          </c:tx>
          <c:invertIfNegative val="0"/>
          <c:cat>
            <c:strRef>
              <c:f>Sheet2!$A$2:$A$8</c:f>
              <c:strCache>
                <c:ptCount val="7"/>
                <c:pt idx="0">
                  <c:v>All households</c:v>
                </c:pt>
                <c:pt idx="1">
                  <c:v>15-24 years</c:v>
                </c:pt>
                <c:pt idx="2">
                  <c:v>25-34 years</c:v>
                </c:pt>
                <c:pt idx="3">
                  <c:v>35-44 years</c:v>
                </c:pt>
                <c:pt idx="4">
                  <c:v>45-54 years</c:v>
                </c:pt>
                <c:pt idx="5">
                  <c:v>55-64 years</c:v>
                </c:pt>
                <c:pt idx="6">
                  <c:v>65+ years</c:v>
                </c:pt>
              </c:strCache>
            </c:strRef>
          </c:cat>
          <c:val>
            <c:numRef>
              <c:f>Sheet2!$B$2:$B$8</c:f>
              <c:numCache>
                <c:formatCode>General</c:formatCode>
                <c:ptCount val="7"/>
                <c:pt idx="0">
                  <c:v>7.6</c:v>
                </c:pt>
                <c:pt idx="1">
                  <c:v>15.7</c:v>
                </c:pt>
                <c:pt idx="2">
                  <c:v>11.7</c:v>
                </c:pt>
                <c:pt idx="3">
                  <c:v>8.9</c:v>
                </c:pt>
                <c:pt idx="4">
                  <c:v>7.5</c:v>
                </c:pt>
                <c:pt idx="5">
                  <c:v>4.8</c:v>
                </c:pt>
                <c:pt idx="6">
                  <c:v>3.5</c:v>
                </c:pt>
              </c:numCache>
            </c:numRef>
          </c:val>
        </c:ser>
        <c:ser>
          <c:idx val="1"/>
          <c:order val="1"/>
          <c:tx>
            <c:strRef>
              <c:f>Sheet2!$C$1</c:f>
              <c:strCache>
                <c:ptCount val="1"/>
                <c:pt idx="0">
                  <c:v>% of households (2011)</c:v>
                </c:pt>
              </c:strCache>
            </c:strRef>
          </c:tx>
          <c:invertIfNegative val="0"/>
          <c:cat>
            <c:strRef>
              <c:f>Sheet2!$A$2:$A$8</c:f>
              <c:strCache>
                <c:ptCount val="7"/>
                <c:pt idx="0">
                  <c:v>All households</c:v>
                </c:pt>
                <c:pt idx="1">
                  <c:v>15-24 years</c:v>
                </c:pt>
                <c:pt idx="2">
                  <c:v>25-34 years</c:v>
                </c:pt>
                <c:pt idx="3">
                  <c:v>35-44 years</c:v>
                </c:pt>
                <c:pt idx="4">
                  <c:v>45-54 years</c:v>
                </c:pt>
                <c:pt idx="5">
                  <c:v>55-64 years</c:v>
                </c:pt>
                <c:pt idx="6">
                  <c:v>65+ years</c:v>
                </c:pt>
              </c:strCache>
            </c:strRef>
          </c:cat>
          <c:val>
            <c:numRef>
              <c:f>Sheet2!$C$2:$C$8</c:f>
              <c:numCache>
                <c:formatCode>General</c:formatCode>
                <c:ptCount val="7"/>
                <c:pt idx="0">
                  <c:v>8.1999999999999993</c:v>
                </c:pt>
                <c:pt idx="1">
                  <c:v>17.399999999999999</c:v>
                </c:pt>
                <c:pt idx="2">
                  <c:v>12.7</c:v>
                </c:pt>
                <c:pt idx="3">
                  <c:v>8.9</c:v>
                </c:pt>
                <c:pt idx="4">
                  <c:v>8.1</c:v>
                </c:pt>
                <c:pt idx="5">
                  <c:v>5.5</c:v>
                </c:pt>
                <c:pt idx="6">
                  <c:v>3.9</c:v>
                </c:pt>
              </c:numCache>
            </c:numRef>
          </c:val>
        </c:ser>
        <c:dLbls>
          <c:showLegendKey val="0"/>
          <c:showVal val="0"/>
          <c:showCatName val="0"/>
          <c:showSerName val="0"/>
          <c:showPercent val="0"/>
          <c:showBubbleSize val="0"/>
        </c:dLbls>
        <c:gapWidth val="150"/>
        <c:shape val="cylinder"/>
        <c:axId val="189443456"/>
        <c:axId val="207099392"/>
        <c:axId val="0"/>
      </c:bar3DChart>
      <c:catAx>
        <c:axId val="189443456"/>
        <c:scaling>
          <c:orientation val="minMax"/>
        </c:scaling>
        <c:delete val="0"/>
        <c:axPos val="b"/>
        <c:title>
          <c:tx>
            <c:rich>
              <a:bodyPr/>
              <a:lstStyle/>
              <a:p>
                <a:pPr>
                  <a:defRPr/>
                </a:pPr>
                <a:r>
                  <a:rPr lang="en-US"/>
                  <a:t>Age</a:t>
                </a:r>
              </a:p>
            </c:rich>
          </c:tx>
          <c:overlay val="0"/>
        </c:title>
        <c:majorTickMark val="out"/>
        <c:minorTickMark val="none"/>
        <c:tickLblPos val="nextTo"/>
        <c:crossAx val="207099392"/>
        <c:crosses val="autoZero"/>
        <c:auto val="1"/>
        <c:lblAlgn val="ctr"/>
        <c:lblOffset val="100"/>
        <c:noMultiLvlLbl val="0"/>
      </c:catAx>
      <c:valAx>
        <c:axId val="207099392"/>
        <c:scaling>
          <c:orientation val="minMax"/>
        </c:scaling>
        <c:delete val="0"/>
        <c:axPos val="l"/>
        <c:majorGridlines/>
        <c:title>
          <c:tx>
            <c:rich>
              <a:bodyPr rot="-5400000" vert="horz"/>
              <a:lstStyle/>
              <a:p>
                <a:pPr>
                  <a:defRPr/>
                </a:pPr>
                <a:r>
                  <a:rPr lang="en-US"/>
                  <a:t>% of households</a:t>
                </a:r>
              </a:p>
            </c:rich>
          </c:tx>
          <c:overlay val="0"/>
        </c:title>
        <c:numFmt formatCode="General" sourceLinked="1"/>
        <c:majorTickMark val="out"/>
        <c:minorTickMark val="none"/>
        <c:tickLblPos val="nextTo"/>
        <c:crossAx val="189443456"/>
        <c:crosses val="autoZero"/>
        <c:crossBetween val="between"/>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Sheet3!$B$1</c:f>
              <c:strCache>
                <c:ptCount val="1"/>
                <c:pt idx="0">
                  <c:v>% of households (2009)</c:v>
                </c:pt>
              </c:strCache>
            </c:strRef>
          </c:tx>
          <c:invertIfNegative val="0"/>
          <c:cat>
            <c:strRef>
              <c:f>Sheet3!$A$2:$A$7</c:f>
              <c:strCache>
                <c:ptCount val="6"/>
                <c:pt idx="0">
                  <c:v>All households</c:v>
                </c:pt>
                <c:pt idx="1">
                  <c:v>&gt;$15,000</c:v>
                </c:pt>
                <c:pt idx="2">
                  <c:v>$15,000 to $30,000</c:v>
                </c:pt>
                <c:pt idx="3">
                  <c:v>$30,000 to $50,000</c:v>
                </c:pt>
                <c:pt idx="4">
                  <c:v>$50,000 to $75,000</c:v>
                </c:pt>
                <c:pt idx="5">
                  <c:v>At least $75,000</c:v>
                </c:pt>
              </c:strCache>
            </c:strRef>
          </c:cat>
          <c:val>
            <c:numRef>
              <c:f>Sheet3!$B$2:$B$7</c:f>
              <c:numCache>
                <c:formatCode>General</c:formatCode>
                <c:ptCount val="6"/>
                <c:pt idx="0">
                  <c:v>7.6</c:v>
                </c:pt>
                <c:pt idx="1">
                  <c:v>27</c:v>
                </c:pt>
                <c:pt idx="2">
                  <c:v>13</c:v>
                </c:pt>
                <c:pt idx="3">
                  <c:v>4.0999999999999996</c:v>
                </c:pt>
                <c:pt idx="4">
                  <c:v>1.5</c:v>
                </c:pt>
                <c:pt idx="5">
                  <c:v>0.3</c:v>
                </c:pt>
              </c:numCache>
            </c:numRef>
          </c:val>
        </c:ser>
        <c:ser>
          <c:idx val="1"/>
          <c:order val="1"/>
          <c:tx>
            <c:strRef>
              <c:f>Sheet3!$C$1</c:f>
              <c:strCache>
                <c:ptCount val="1"/>
                <c:pt idx="0">
                  <c:v>% of households (2011)</c:v>
                </c:pt>
              </c:strCache>
            </c:strRef>
          </c:tx>
          <c:invertIfNegative val="0"/>
          <c:cat>
            <c:strRef>
              <c:f>Sheet3!$A$2:$A$7</c:f>
              <c:strCache>
                <c:ptCount val="6"/>
                <c:pt idx="0">
                  <c:v>All households</c:v>
                </c:pt>
                <c:pt idx="1">
                  <c:v>&gt;$15,000</c:v>
                </c:pt>
                <c:pt idx="2">
                  <c:v>$15,000 to $30,000</c:v>
                </c:pt>
                <c:pt idx="3">
                  <c:v>$30,000 to $50,000</c:v>
                </c:pt>
                <c:pt idx="4">
                  <c:v>$50,000 to $75,000</c:v>
                </c:pt>
                <c:pt idx="5">
                  <c:v>At least $75,000</c:v>
                </c:pt>
              </c:strCache>
            </c:strRef>
          </c:cat>
          <c:val>
            <c:numRef>
              <c:f>Sheet3!$C$2:$C$7</c:f>
              <c:numCache>
                <c:formatCode>General</c:formatCode>
                <c:ptCount val="6"/>
                <c:pt idx="0">
                  <c:v>8.1999999999999993</c:v>
                </c:pt>
                <c:pt idx="1">
                  <c:v>29.6</c:v>
                </c:pt>
                <c:pt idx="2">
                  <c:v>11.4</c:v>
                </c:pt>
                <c:pt idx="3">
                  <c:v>4.5</c:v>
                </c:pt>
                <c:pt idx="4">
                  <c:v>1.4</c:v>
                </c:pt>
                <c:pt idx="5">
                  <c:v>0.2</c:v>
                </c:pt>
              </c:numCache>
            </c:numRef>
          </c:val>
        </c:ser>
        <c:dLbls>
          <c:showLegendKey val="0"/>
          <c:showVal val="0"/>
          <c:showCatName val="0"/>
          <c:showSerName val="0"/>
          <c:showPercent val="0"/>
          <c:showBubbleSize val="0"/>
        </c:dLbls>
        <c:gapWidth val="150"/>
        <c:shape val="cylinder"/>
        <c:axId val="227895936"/>
        <c:axId val="227902208"/>
        <c:axId val="0"/>
      </c:bar3DChart>
      <c:catAx>
        <c:axId val="227895936"/>
        <c:scaling>
          <c:orientation val="minMax"/>
        </c:scaling>
        <c:delete val="0"/>
        <c:axPos val="b"/>
        <c:title>
          <c:tx>
            <c:rich>
              <a:bodyPr/>
              <a:lstStyle/>
              <a:p>
                <a:pPr>
                  <a:defRPr/>
                </a:pPr>
                <a:r>
                  <a:rPr lang="en-US"/>
                  <a:t>Income per year</a:t>
                </a:r>
              </a:p>
            </c:rich>
          </c:tx>
          <c:overlay val="0"/>
        </c:title>
        <c:majorTickMark val="out"/>
        <c:minorTickMark val="none"/>
        <c:tickLblPos val="nextTo"/>
        <c:crossAx val="227902208"/>
        <c:crosses val="autoZero"/>
        <c:auto val="1"/>
        <c:lblAlgn val="ctr"/>
        <c:lblOffset val="100"/>
        <c:noMultiLvlLbl val="0"/>
      </c:catAx>
      <c:valAx>
        <c:axId val="227902208"/>
        <c:scaling>
          <c:orientation val="minMax"/>
        </c:scaling>
        <c:delete val="0"/>
        <c:axPos val="l"/>
        <c:majorGridlines/>
        <c:title>
          <c:tx>
            <c:rich>
              <a:bodyPr rot="-5400000" vert="horz"/>
              <a:lstStyle/>
              <a:p>
                <a:pPr>
                  <a:defRPr/>
                </a:pPr>
                <a:r>
                  <a:rPr lang="en-US"/>
                  <a:t>% of households</a:t>
                </a:r>
              </a:p>
            </c:rich>
          </c:tx>
          <c:overlay val="0"/>
        </c:title>
        <c:numFmt formatCode="General" sourceLinked="1"/>
        <c:majorTickMark val="out"/>
        <c:minorTickMark val="none"/>
        <c:tickLblPos val="nextTo"/>
        <c:crossAx val="227895936"/>
        <c:crosses val="autoZero"/>
        <c:crossBetween val="between"/>
      </c:valAx>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Sheet4!$B$1</c:f>
              <c:strCache>
                <c:ptCount val="1"/>
                <c:pt idx="0">
                  <c:v>% of households (2009)</c:v>
                </c:pt>
              </c:strCache>
            </c:strRef>
          </c:tx>
          <c:invertIfNegative val="0"/>
          <c:cat>
            <c:strRef>
              <c:f>Sheet4!$A$2:$A$7</c:f>
              <c:strCache>
                <c:ptCount val="6"/>
                <c:pt idx="0">
                  <c:v>All households</c:v>
                </c:pt>
                <c:pt idx="1">
                  <c:v>Unmarried female family</c:v>
                </c:pt>
                <c:pt idx="2">
                  <c:v>Unmarried Male family</c:v>
                </c:pt>
                <c:pt idx="3">
                  <c:v>Individual female</c:v>
                </c:pt>
                <c:pt idx="4">
                  <c:v>Individual male</c:v>
                </c:pt>
                <c:pt idx="5">
                  <c:v>Married couples</c:v>
                </c:pt>
              </c:strCache>
            </c:strRef>
          </c:cat>
          <c:val>
            <c:numRef>
              <c:f>Sheet4!$B$2:$B$7</c:f>
              <c:numCache>
                <c:formatCode>General</c:formatCode>
                <c:ptCount val="6"/>
                <c:pt idx="0">
                  <c:v>7.6</c:v>
                </c:pt>
                <c:pt idx="1">
                  <c:v>19.5</c:v>
                </c:pt>
                <c:pt idx="2">
                  <c:v>14.8</c:v>
                </c:pt>
                <c:pt idx="3">
                  <c:v>6.6</c:v>
                </c:pt>
                <c:pt idx="4">
                  <c:v>17.7</c:v>
                </c:pt>
                <c:pt idx="5">
                  <c:v>3.5</c:v>
                </c:pt>
              </c:numCache>
            </c:numRef>
          </c:val>
        </c:ser>
        <c:ser>
          <c:idx val="1"/>
          <c:order val="1"/>
          <c:tx>
            <c:strRef>
              <c:f>Sheet4!$C$1</c:f>
              <c:strCache>
                <c:ptCount val="1"/>
                <c:pt idx="0">
                  <c:v>% of households (2011)</c:v>
                </c:pt>
              </c:strCache>
            </c:strRef>
          </c:tx>
          <c:invertIfNegative val="0"/>
          <c:cat>
            <c:strRef>
              <c:f>Sheet4!$A$2:$A$7</c:f>
              <c:strCache>
                <c:ptCount val="6"/>
                <c:pt idx="0">
                  <c:v>All households</c:v>
                </c:pt>
                <c:pt idx="1">
                  <c:v>Unmarried female family</c:v>
                </c:pt>
                <c:pt idx="2">
                  <c:v>Unmarried Male family</c:v>
                </c:pt>
                <c:pt idx="3">
                  <c:v>Individual female</c:v>
                </c:pt>
                <c:pt idx="4">
                  <c:v>Individual male</c:v>
                </c:pt>
                <c:pt idx="5">
                  <c:v>Married couples</c:v>
                </c:pt>
              </c:strCache>
            </c:strRef>
          </c:cat>
          <c:val>
            <c:numRef>
              <c:f>Sheet4!$C$2:$C$7</c:f>
              <c:numCache>
                <c:formatCode>General</c:formatCode>
                <c:ptCount val="6"/>
                <c:pt idx="0">
                  <c:v>8.1999999999999993</c:v>
                </c:pt>
                <c:pt idx="1">
                  <c:v>19.100000000000001</c:v>
                </c:pt>
                <c:pt idx="2">
                  <c:v>14.3</c:v>
                </c:pt>
                <c:pt idx="3">
                  <c:v>7.8</c:v>
                </c:pt>
                <c:pt idx="4">
                  <c:v>11.4</c:v>
                </c:pt>
                <c:pt idx="5">
                  <c:v>3.7</c:v>
                </c:pt>
              </c:numCache>
            </c:numRef>
          </c:val>
        </c:ser>
        <c:dLbls>
          <c:showLegendKey val="0"/>
          <c:showVal val="0"/>
          <c:showCatName val="0"/>
          <c:showSerName val="0"/>
          <c:showPercent val="0"/>
          <c:showBubbleSize val="0"/>
        </c:dLbls>
        <c:gapWidth val="150"/>
        <c:shape val="cylinder"/>
        <c:axId val="227932032"/>
        <c:axId val="227934208"/>
        <c:axId val="0"/>
      </c:bar3DChart>
      <c:catAx>
        <c:axId val="227932032"/>
        <c:scaling>
          <c:orientation val="minMax"/>
        </c:scaling>
        <c:delete val="0"/>
        <c:axPos val="b"/>
        <c:title>
          <c:tx>
            <c:rich>
              <a:bodyPr/>
              <a:lstStyle/>
              <a:p>
                <a:pPr>
                  <a:defRPr/>
                </a:pPr>
                <a:r>
                  <a:rPr lang="en-US"/>
                  <a:t>Household Type</a:t>
                </a:r>
              </a:p>
            </c:rich>
          </c:tx>
          <c:overlay val="0"/>
        </c:title>
        <c:majorTickMark val="out"/>
        <c:minorTickMark val="none"/>
        <c:tickLblPos val="nextTo"/>
        <c:crossAx val="227934208"/>
        <c:crosses val="autoZero"/>
        <c:auto val="1"/>
        <c:lblAlgn val="ctr"/>
        <c:lblOffset val="100"/>
        <c:noMultiLvlLbl val="0"/>
      </c:catAx>
      <c:valAx>
        <c:axId val="227934208"/>
        <c:scaling>
          <c:orientation val="minMax"/>
        </c:scaling>
        <c:delete val="0"/>
        <c:axPos val="l"/>
        <c:majorGridlines/>
        <c:title>
          <c:tx>
            <c:rich>
              <a:bodyPr rot="-5400000" vert="horz"/>
              <a:lstStyle/>
              <a:p>
                <a:pPr>
                  <a:defRPr/>
                </a:pPr>
                <a:r>
                  <a:rPr lang="en-US"/>
                  <a:t>% of households </a:t>
                </a:r>
              </a:p>
            </c:rich>
          </c:tx>
          <c:overlay val="0"/>
        </c:title>
        <c:numFmt formatCode="General" sourceLinked="1"/>
        <c:majorTickMark val="out"/>
        <c:minorTickMark val="none"/>
        <c:tickLblPos val="nextTo"/>
        <c:crossAx val="227932032"/>
        <c:crosses val="autoZero"/>
        <c:crossBetween val="between"/>
      </c:valAx>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Sheet5!$B$1</c:f>
              <c:strCache>
                <c:ptCount val="1"/>
                <c:pt idx="0">
                  <c:v>% of households (2009)</c:v>
                </c:pt>
              </c:strCache>
            </c:strRef>
          </c:tx>
          <c:invertIfNegative val="0"/>
          <c:cat>
            <c:strRef>
              <c:f>Sheet5!$A$2:$A$6</c:f>
              <c:strCache>
                <c:ptCount val="5"/>
                <c:pt idx="0">
                  <c:v>All households</c:v>
                </c:pt>
                <c:pt idx="1">
                  <c:v>No high schools degree</c:v>
                </c:pt>
                <c:pt idx="2">
                  <c:v>Has a high school degree</c:v>
                </c:pt>
                <c:pt idx="3">
                  <c:v>Some college</c:v>
                </c:pt>
                <c:pt idx="4">
                  <c:v>College degree</c:v>
                </c:pt>
              </c:strCache>
            </c:strRef>
          </c:cat>
          <c:val>
            <c:numRef>
              <c:f>Sheet5!$B$2:$B$6</c:f>
              <c:numCache>
                <c:formatCode>General</c:formatCode>
                <c:ptCount val="5"/>
                <c:pt idx="0">
                  <c:v>7.6</c:v>
                </c:pt>
                <c:pt idx="1">
                  <c:v>24.4</c:v>
                </c:pt>
                <c:pt idx="2">
                  <c:v>9.6</c:v>
                </c:pt>
                <c:pt idx="3">
                  <c:v>4.9000000000000004</c:v>
                </c:pt>
                <c:pt idx="4">
                  <c:v>1.2</c:v>
                </c:pt>
              </c:numCache>
            </c:numRef>
          </c:val>
        </c:ser>
        <c:ser>
          <c:idx val="1"/>
          <c:order val="1"/>
          <c:tx>
            <c:strRef>
              <c:f>Sheet5!$C$1</c:f>
              <c:strCache>
                <c:ptCount val="1"/>
                <c:pt idx="0">
                  <c:v>% of households (2011)</c:v>
                </c:pt>
              </c:strCache>
            </c:strRef>
          </c:tx>
          <c:invertIfNegative val="0"/>
          <c:cat>
            <c:strRef>
              <c:f>Sheet5!$A$2:$A$6</c:f>
              <c:strCache>
                <c:ptCount val="5"/>
                <c:pt idx="0">
                  <c:v>All households</c:v>
                </c:pt>
                <c:pt idx="1">
                  <c:v>No high schools degree</c:v>
                </c:pt>
                <c:pt idx="2">
                  <c:v>Has a high school degree</c:v>
                </c:pt>
                <c:pt idx="3">
                  <c:v>Some college</c:v>
                </c:pt>
                <c:pt idx="4">
                  <c:v>College degree</c:v>
                </c:pt>
              </c:strCache>
            </c:strRef>
          </c:cat>
          <c:val>
            <c:numRef>
              <c:f>Sheet5!$C$2:$C$6</c:f>
              <c:numCache>
                <c:formatCode>General</c:formatCode>
                <c:ptCount val="5"/>
                <c:pt idx="0">
                  <c:v>8.1999999999999993</c:v>
                </c:pt>
                <c:pt idx="1">
                  <c:v>25.8</c:v>
                </c:pt>
                <c:pt idx="2">
                  <c:v>10.9</c:v>
                </c:pt>
                <c:pt idx="3">
                  <c:v>5.9</c:v>
                </c:pt>
                <c:pt idx="4">
                  <c:v>1.1000000000000001</c:v>
                </c:pt>
              </c:numCache>
            </c:numRef>
          </c:val>
        </c:ser>
        <c:dLbls>
          <c:showLegendKey val="0"/>
          <c:showVal val="0"/>
          <c:showCatName val="0"/>
          <c:showSerName val="0"/>
          <c:showPercent val="0"/>
          <c:showBubbleSize val="0"/>
        </c:dLbls>
        <c:gapWidth val="150"/>
        <c:shape val="cylinder"/>
        <c:axId val="227947648"/>
        <c:axId val="227949568"/>
        <c:axId val="0"/>
      </c:bar3DChart>
      <c:catAx>
        <c:axId val="227947648"/>
        <c:scaling>
          <c:orientation val="minMax"/>
        </c:scaling>
        <c:delete val="0"/>
        <c:axPos val="b"/>
        <c:title>
          <c:tx>
            <c:rich>
              <a:bodyPr/>
              <a:lstStyle/>
              <a:p>
                <a:pPr>
                  <a:defRPr/>
                </a:pPr>
                <a:r>
                  <a:rPr lang="en-US"/>
                  <a:t>Education status</a:t>
                </a:r>
              </a:p>
            </c:rich>
          </c:tx>
          <c:overlay val="0"/>
        </c:title>
        <c:majorTickMark val="out"/>
        <c:minorTickMark val="none"/>
        <c:tickLblPos val="nextTo"/>
        <c:crossAx val="227949568"/>
        <c:crosses val="autoZero"/>
        <c:auto val="1"/>
        <c:lblAlgn val="ctr"/>
        <c:lblOffset val="100"/>
        <c:noMultiLvlLbl val="0"/>
      </c:catAx>
      <c:valAx>
        <c:axId val="227949568"/>
        <c:scaling>
          <c:orientation val="minMax"/>
        </c:scaling>
        <c:delete val="0"/>
        <c:axPos val="l"/>
        <c:majorGridlines/>
        <c:title>
          <c:tx>
            <c:rich>
              <a:bodyPr rot="-5400000" vert="horz"/>
              <a:lstStyle/>
              <a:p>
                <a:pPr>
                  <a:defRPr/>
                </a:pPr>
                <a:r>
                  <a:rPr lang="en-US"/>
                  <a:t>% of households</a:t>
                </a:r>
              </a:p>
            </c:rich>
          </c:tx>
          <c:overlay val="0"/>
        </c:title>
        <c:numFmt formatCode="General" sourceLinked="1"/>
        <c:majorTickMark val="out"/>
        <c:minorTickMark val="none"/>
        <c:tickLblPos val="nextTo"/>
        <c:crossAx val="227947648"/>
        <c:crosses val="autoZero"/>
        <c:crossBetween val="between"/>
      </c:valAx>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Sheet8!$B$1</c:f>
              <c:strCache>
                <c:ptCount val="1"/>
                <c:pt idx="0">
                  <c:v>% of households (2009)</c:v>
                </c:pt>
              </c:strCache>
            </c:strRef>
          </c:tx>
          <c:invertIfNegative val="0"/>
          <c:cat>
            <c:strRef>
              <c:f>Sheet8!$A$2:$A$5</c:f>
              <c:strCache>
                <c:ptCount val="4"/>
                <c:pt idx="0">
                  <c:v>All households</c:v>
                </c:pt>
                <c:pt idx="1">
                  <c:v>Unemployed</c:v>
                </c:pt>
                <c:pt idx="2">
                  <c:v>Not in labor force</c:v>
                </c:pt>
                <c:pt idx="3">
                  <c:v>Employed</c:v>
                </c:pt>
              </c:strCache>
            </c:strRef>
          </c:cat>
          <c:val>
            <c:numRef>
              <c:f>Sheet8!$B$2:$B$5</c:f>
              <c:numCache>
                <c:formatCode>General</c:formatCode>
                <c:ptCount val="4"/>
                <c:pt idx="0">
                  <c:v>7.6</c:v>
                </c:pt>
                <c:pt idx="1">
                  <c:v>19.100000000000001</c:v>
                </c:pt>
                <c:pt idx="2">
                  <c:v>9.6999999999999993</c:v>
                </c:pt>
                <c:pt idx="3">
                  <c:v>5.5</c:v>
                </c:pt>
              </c:numCache>
            </c:numRef>
          </c:val>
        </c:ser>
        <c:ser>
          <c:idx val="1"/>
          <c:order val="1"/>
          <c:tx>
            <c:strRef>
              <c:f>Sheet8!$C$1</c:f>
              <c:strCache>
                <c:ptCount val="1"/>
                <c:pt idx="0">
                  <c:v>% of households (2011)</c:v>
                </c:pt>
              </c:strCache>
            </c:strRef>
          </c:tx>
          <c:invertIfNegative val="0"/>
          <c:cat>
            <c:strRef>
              <c:f>Sheet8!$A$2:$A$5</c:f>
              <c:strCache>
                <c:ptCount val="4"/>
                <c:pt idx="0">
                  <c:v>All households</c:v>
                </c:pt>
                <c:pt idx="1">
                  <c:v>Unemployed</c:v>
                </c:pt>
                <c:pt idx="2">
                  <c:v>Not in labor force</c:v>
                </c:pt>
                <c:pt idx="3">
                  <c:v>Employed</c:v>
                </c:pt>
              </c:strCache>
            </c:strRef>
          </c:cat>
          <c:val>
            <c:numRef>
              <c:f>Sheet8!$C$2:$C$5</c:f>
              <c:numCache>
                <c:formatCode>General</c:formatCode>
                <c:ptCount val="4"/>
                <c:pt idx="0">
                  <c:v>8.1999999999999993</c:v>
                </c:pt>
                <c:pt idx="1">
                  <c:v>22.5</c:v>
                </c:pt>
                <c:pt idx="2">
                  <c:v>11</c:v>
                </c:pt>
                <c:pt idx="3">
                  <c:v>5.3</c:v>
                </c:pt>
              </c:numCache>
            </c:numRef>
          </c:val>
        </c:ser>
        <c:dLbls>
          <c:showLegendKey val="0"/>
          <c:showVal val="0"/>
          <c:showCatName val="0"/>
          <c:showSerName val="0"/>
          <c:showPercent val="0"/>
          <c:showBubbleSize val="0"/>
        </c:dLbls>
        <c:gapWidth val="150"/>
        <c:shape val="cylinder"/>
        <c:axId val="227975936"/>
        <c:axId val="227977856"/>
        <c:axId val="0"/>
      </c:bar3DChart>
      <c:catAx>
        <c:axId val="227975936"/>
        <c:scaling>
          <c:orientation val="minMax"/>
        </c:scaling>
        <c:delete val="0"/>
        <c:axPos val="b"/>
        <c:title>
          <c:tx>
            <c:rich>
              <a:bodyPr/>
              <a:lstStyle/>
              <a:p>
                <a:pPr>
                  <a:defRPr/>
                </a:pPr>
                <a:r>
                  <a:rPr lang="en-US"/>
                  <a:t>Employment Status</a:t>
                </a:r>
              </a:p>
            </c:rich>
          </c:tx>
          <c:overlay val="0"/>
        </c:title>
        <c:majorTickMark val="out"/>
        <c:minorTickMark val="none"/>
        <c:tickLblPos val="nextTo"/>
        <c:crossAx val="227977856"/>
        <c:crosses val="autoZero"/>
        <c:auto val="1"/>
        <c:lblAlgn val="ctr"/>
        <c:lblOffset val="100"/>
        <c:noMultiLvlLbl val="0"/>
      </c:catAx>
      <c:valAx>
        <c:axId val="227977856"/>
        <c:scaling>
          <c:orientation val="minMax"/>
        </c:scaling>
        <c:delete val="0"/>
        <c:axPos val="l"/>
        <c:majorGridlines/>
        <c:title>
          <c:tx>
            <c:rich>
              <a:bodyPr rot="-5400000" vert="horz"/>
              <a:lstStyle/>
              <a:p>
                <a:pPr>
                  <a:defRPr/>
                </a:pPr>
                <a:r>
                  <a:rPr lang="en-US"/>
                  <a:t>% of households </a:t>
                </a:r>
              </a:p>
            </c:rich>
          </c:tx>
          <c:overlay val="0"/>
        </c:title>
        <c:numFmt formatCode="General" sourceLinked="1"/>
        <c:majorTickMark val="out"/>
        <c:minorTickMark val="none"/>
        <c:tickLblPos val="nextTo"/>
        <c:crossAx val="227975936"/>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6A9F50A4-BBBC-4D2D-88F6-743F78D84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1957</TotalTime>
  <Pages>22</Pages>
  <Words>3315</Words>
  <Characters>18898</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1</cp:revision>
  <dcterms:created xsi:type="dcterms:W3CDTF">2020-11-04T14:13:00Z</dcterms:created>
  <dcterms:modified xsi:type="dcterms:W3CDTF">2020-11-14T19:35:00Z</dcterms:modified>
</cp:coreProperties>
</file>